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ED0FF" w14:textId="484D065C" w:rsidR="00554A4E" w:rsidRPr="00F150E9" w:rsidRDefault="00661DB2" w:rsidP="0021744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Energy Savings with Membrane Technologies in Wastewater Treatment </w:t>
      </w:r>
    </w:p>
    <w:p w14:paraId="3534977C" w14:textId="7BA21D74" w:rsidR="0021744E" w:rsidRPr="006C4F32" w:rsidRDefault="0073036C" w:rsidP="0021744E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Geoffrey Johnston-</w:t>
      </w:r>
      <w:proofErr w:type="spellStart"/>
      <w:r>
        <w:rPr>
          <w:rFonts w:ascii="Times New Roman" w:hAnsi="Times New Roman" w:cs="Times New Roman"/>
          <w:color w:val="000000" w:themeColor="text1"/>
          <w:u w:val="single"/>
        </w:rPr>
        <w:t>Hall</w:t>
      </w:r>
      <w:r w:rsidR="0021744E" w:rsidRPr="006C4F32">
        <w:rPr>
          <w:rFonts w:ascii="Times New Roman" w:hAnsi="Times New Roman" w:cs="Times New Roman"/>
          <w:color w:val="000000" w:themeColor="text1"/>
          <w:u w:val="single"/>
          <w:vertAlign w:val="superscript"/>
        </w:rPr>
        <w:t>a</w:t>
      </w:r>
      <w:proofErr w:type="spellEnd"/>
      <w:r w:rsidR="00EA5864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="009E45A0" w:rsidRPr="009E45A0">
        <w:rPr>
          <w:rFonts w:ascii="Times New Roman" w:hAnsi="Times New Roman" w:cs="Times New Roman"/>
          <w:iCs/>
        </w:rPr>
        <w:t xml:space="preserve">Barry </w:t>
      </w:r>
      <w:proofErr w:type="spellStart"/>
      <w:r w:rsidR="009E45A0" w:rsidRPr="009E45A0">
        <w:rPr>
          <w:rFonts w:ascii="Times New Roman" w:hAnsi="Times New Roman" w:cs="Times New Roman"/>
          <w:iCs/>
        </w:rPr>
        <w:t>Heffernan</w:t>
      </w:r>
      <w:r w:rsidR="009E45A0" w:rsidRPr="009E45A0">
        <w:rPr>
          <w:rFonts w:ascii="Times New Roman" w:hAnsi="Times New Roman" w:cs="Times New Roman"/>
          <w:color w:val="000000" w:themeColor="text1"/>
          <w:vertAlign w:val="superscript"/>
        </w:rPr>
        <w:t>a</w:t>
      </w:r>
      <w:proofErr w:type="spellEnd"/>
      <w:r w:rsidR="009E45A0" w:rsidRPr="009E45A0">
        <w:rPr>
          <w:rFonts w:ascii="Times New Roman" w:hAnsi="Times New Roman" w:cs="Times New Roman"/>
          <w:iCs/>
        </w:rPr>
        <w:t>,</w:t>
      </w:r>
      <w:r w:rsidR="009E45A0" w:rsidRPr="009E45A0">
        <w:rPr>
          <w:rFonts w:ascii="Times New Roman" w:hAnsi="Times New Roman" w:cs="Times New Roman"/>
          <w:i/>
        </w:rPr>
        <w:t xml:space="preserve"> </w:t>
      </w:r>
      <w:r w:rsidRPr="009E45A0">
        <w:rPr>
          <w:rFonts w:ascii="Times New Roman" w:hAnsi="Times New Roman" w:cs="Times New Roman"/>
          <w:iCs/>
        </w:rPr>
        <w:t xml:space="preserve">Steven </w:t>
      </w:r>
      <w:proofErr w:type="spellStart"/>
      <w:r w:rsidRPr="009E45A0">
        <w:rPr>
          <w:rFonts w:ascii="Times New Roman" w:hAnsi="Times New Roman" w:cs="Times New Roman"/>
          <w:iCs/>
        </w:rPr>
        <w:t>Cao</w:t>
      </w:r>
      <w:r w:rsidR="001B64F7" w:rsidRPr="009E45A0">
        <w:rPr>
          <w:rFonts w:ascii="Times New Roman" w:hAnsi="Times New Roman" w:cs="Times New Roman"/>
          <w:color w:val="000000" w:themeColor="text1"/>
          <w:vertAlign w:val="superscript"/>
        </w:rPr>
        <w:t>a</w:t>
      </w:r>
      <w:proofErr w:type="spellEnd"/>
      <w:r w:rsidRPr="009E45A0">
        <w:rPr>
          <w:rFonts w:ascii="Times New Roman" w:hAnsi="Times New Roman" w:cs="Times New Roman"/>
          <w:iCs/>
        </w:rPr>
        <w:t>,</w:t>
      </w:r>
      <w:r w:rsidRPr="009E45A0">
        <w:rPr>
          <w:rFonts w:ascii="Times New Roman" w:hAnsi="Times New Roman" w:cs="Times New Roman"/>
          <w:i/>
        </w:rPr>
        <w:t xml:space="preserve"> </w:t>
      </w:r>
      <w:proofErr w:type="spellStart"/>
      <w:r w:rsidRPr="009E45A0">
        <w:rPr>
          <w:rFonts w:ascii="Times New Roman" w:hAnsi="Times New Roman" w:cs="Times New Roman"/>
          <w:iCs/>
        </w:rPr>
        <w:t>Kaushi</w:t>
      </w:r>
      <w:proofErr w:type="spellEnd"/>
      <w:r w:rsidRPr="009E45A0">
        <w:rPr>
          <w:rFonts w:ascii="Times New Roman" w:hAnsi="Times New Roman" w:cs="Times New Roman"/>
          <w:iCs/>
        </w:rPr>
        <w:t xml:space="preserve"> </w:t>
      </w:r>
      <w:proofErr w:type="spellStart"/>
      <w:r w:rsidRPr="009E45A0">
        <w:rPr>
          <w:rFonts w:ascii="Times New Roman" w:hAnsi="Times New Roman" w:cs="Times New Roman"/>
          <w:iCs/>
        </w:rPr>
        <w:t>Wijekoon</w:t>
      </w:r>
      <w:r w:rsidR="001B64F7" w:rsidRPr="009E45A0">
        <w:rPr>
          <w:rFonts w:ascii="Times New Roman" w:hAnsi="Times New Roman" w:cs="Times New Roman"/>
          <w:color w:val="000000" w:themeColor="text1"/>
          <w:vertAlign w:val="superscript"/>
        </w:rPr>
        <w:t>a</w:t>
      </w:r>
      <w:proofErr w:type="spellEnd"/>
      <w:r w:rsidRPr="009E45A0">
        <w:rPr>
          <w:rFonts w:ascii="Times New Roman" w:hAnsi="Times New Roman" w:cs="Times New Roman"/>
          <w:iCs/>
        </w:rPr>
        <w:t>,</w:t>
      </w:r>
      <w:r w:rsidR="0021744E" w:rsidRPr="009E45A0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9E45A0">
        <w:rPr>
          <w:rFonts w:ascii="Times New Roman" w:hAnsi="Times New Roman" w:cs="Times New Roman"/>
          <w:iCs/>
          <w:color w:val="000000" w:themeColor="text1"/>
        </w:rPr>
        <w:t>G</w:t>
      </w:r>
      <w:r w:rsidRPr="009E45A0">
        <w:rPr>
          <w:rFonts w:ascii="Times New Roman" w:hAnsi="Times New Roman" w:cs="Times New Roman"/>
          <w:color w:val="000000" w:themeColor="text1"/>
        </w:rPr>
        <w:t>erin</w:t>
      </w:r>
      <w:proofErr w:type="spellEnd"/>
      <w:r w:rsidRPr="009E45A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E45A0">
        <w:rPr>
          <w:rFonts w:ascii="Times New Roman" w:hAnsi="Times New Roman" w:cs="Times New Roman"/>
          <w:color w:val="000000" w:themeColor="text1"/>
        </w:rPr>
        <w:t>James</w:t>
      </w:r>
      <w:r w:rsidR="001B64F7" w:rsidRPr="009E45A0">
        <w:rPr>
          <w:rFonts w:ascii="Times New Roman" w:hAnsi="Times New Roman" w:cs="Times New Roman"/>
          <w:color w:val="000000" w:themeColor="text1"/>
          <w:vertAlign w:val="superscript"/>
        </w:rPr>
        <w:t>a</w:t>
      </w:r>
      <w:proofErr w:type="spellEnd"/>
      <w:r w:rsidR="0021744E" w:rsidRPr="009E45A0">
        <w:rPr>
          <w:rFonts w:ascii="Times New Roman" w:hAnsi="Times New Roman" w:cs="Times New Roman"/>
          <w:color w:val="000000" w:themeColor="text1"/>
        </w:rPr>
        <w:t>,</w:t>
      </w:r>
      <w:r w:rsidR="0021744E" w:rsidRPr="006C4F32">
        <w:rPr>
          <w:rFonts w:ascii="Times New Roman" w:hAnsi="Times New Roman" w:cs="Times New Roman"/>
          <w:color w:val="000000" w:themeColor="text1"/>
        </w:rPr>
        <w:t xml:space="preserve"> </w:t>
      </w:r>
    </w:p>
    <w:p w14:paraId="3DA44983" w14:textId="38D9B95A" w:rsidR="00D22F5C" w:rsidRPr="004B6416" w:rsidRDefault="00D22F5C">
      <w:pPr>
        <w:rPr>
          <w:rFonts w:ascii="Times New Roman" w:hAnsi="Times New Roman" w:cs="Times New Roman"/>
          <w:color w:val="000000" w:themeColor="text1"/>
          <w:lang w:val="fr-FR"/>
        </w:rPr>
      </w:pPr>
      <w:proofErr w:type="gramStart"/>
      <w:r w:rsidRPr="004B6416">
        <w:rPr>
          <w:rFonts w:ascii="Times New Roman" w:hAnsi="Times New Roman" w:cs="Times New Roman"/>
          <w:color w:val="000000" w:themeColor="text1"/>
          <w:vertAlign w:val="superscript"/>
          <w:lang w:val="fr-FR"/>
        </w:rPr>
        <w:t>a</w:t>
      </w:r>
      <w:proofErr w:type="gramEnd"/>
      <w:r w:rsidRPr="004B6416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="0073036C">
        <w:rPr>
          <w:rFonts w:ascii="Times New Roman" w:hAnsi="Times New Roman" w:cs="Times New Roman"/>
          <w:color w:val="000000" w:themeColor="text1"/>
          <w:lang w:val="fr-FR"/>
        </w:rPr>
        <w:t>DuPont Water Solutions</w:t>
      </w:r>
    </w:p>
    <w:p w14:paraId="5DB77405" w14:textId="49DF9977" w:rsidR="00D22F5C" w:rsidRPr="00554A4E" w:rsidRDefault="007F10C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54A4E">
        <w:rPr>
          <w:rFonts w:ascii="Times New Roman" w:hAnsi="Times New Roman" w:cs="Times New Roman"/>
          <w:color w:val="000000" w:themeColor="text1"/>
        </w:rPr>
        <w:t xml:space="preserve">*Corresponding author: </w:t>
      </w:r>
      <w:r w:rsidR="0073036C">
        <w:rPr>
          <w:rFonts w:ascii="Times New Roman" w:hAnsi="Times New Roman" w:cs="Times New Roman"/>
          <w:color w:val="000000" w:themeColor="text1"/>
        </w:rPr>
        <w:t>Geoffrey.johnstonhall@dupont.com</w:t>
      </w:r>
      <w:r w:rsidRPr="00554A4E">
        <w:rPr>
          <w:rFonts w:ascii="Times New Roman" w:hAnsi="Times New Roman" w:cs="Times New Roman"/>
          <w:color w:val="000000" w:themeColor="text1"/>
        </w:rPr>
        <w:t xml:space="preserve">, </w:t>
      </w:r>
      <w:r w:rsidR="0073036C">
        <w:rPr>
          <w:rFonts w:ascii="Times New Roman" w:hAnsi="Times New Roman" w:cs="Times New Roman"/>
          <w:color w:val="000000" w:themeColor="text1"/>
        </w:rPr>
        <w:t>+61 (2) 45770971</w:t>
      </w:r>
    </w:p>
    <w:p w14:paraId="61EAC140" w14:textId="77777777" w:rsidR="007F10C3" w:rsidRPr="00554A4E" w:rsidRDefault="007F10C3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0604A180" w14:textId="77777777" w:rsidR="00D22F5C" w:rsidRPr="00554A4E" w:rsidRDefault="00D22F5C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54A4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Abstract:</w:t>
      </w:r>
    </w:p>
    <w:p w14:paraId="51498A36" w14:textId="16593A4D" w:rsidR="003E335A" w:rsidRDefault="005A478C" w:rsidP="007F06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Wastewater treatment plants </w:t>
      </w:r>
      <w:r w:rsidR="004D2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(WWTPs)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are fundamental to addressing pollution of our</w:t>
      </w:r>
      <w:r w:rsidR="004D2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environment and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water </w:t>
      </w:r>
      <w:r w:rsidR="00285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ways</w:t>
      </w:r>
      <w:proofErr w:type="gramEnd"/>
      <w:r w:rsidR="002E6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285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2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are increasingly being </w:t>
      </w:r>
      <w:r w:rsidR="002E6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considered</w:t>
      </w:r>
      <w:r w:rsidR="004D2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E6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2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supplement</w:t>
      </w:r>
      <w:r w:rsidR="002E6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ing</w:t>
      </w:r>
      <w:r w:rsidR="004D2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our water supplies through purification and reuse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However, WWTPs have a significant environmental </w:t>
      </w:r>
      <w:r w:rsidR="00F57B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footprint</w:t>
      </w:r>
      <w:r w:rsidR="004D2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635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reportedly </w:t>
      </w:r>
      <w:r w:rsidR="00F57B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consuming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45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more than 2</w:t>
      </w:r>
      <w:r w:rsidR="00F57BDF" w:rsidRPr="007F06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% of the world’s energy</w:t>
      </w:r>
      <w:r w:rsidR="009E45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285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contributing to</w:t>
      </w:r>
      <w:r w:rsidR="004D2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57B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significant </w:t>
      </w:r>
      <w:r w:rsidR="00285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proportion of </w:t>
      </w:r>
      <w:r w:rsidR="00F57B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global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greenhouse gas </w:t>
      </w:r>
      <w:r w:rsidR="00F57B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emissions</w:t>
      </w:r>
      <w:r w:rsidR="009E45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4D2D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a significant carbon footprint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id w:val="-499274242"/>
          <w:citation/>
        </w:sdtPr>
        <w:sdtEndPr/>
        <w:sdtContent>
          <w:r w:rsidR="009E45A0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fldChar w:fldCharType="begin"/>
          </w:r>
          <w:r w:rsidR="009E45A0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instrText xml:space="preserve"> CITATION Wal21 \l 3081 </w:instrText>
          </w:r>
          <w:r w:rsidR="009E45A0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fldChar w:fldCharType="separate"/>
          </w:r>
          <w:r w:rsidR="009E45A0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shd w:val="clear" w:color="auto" w:fill="FFFFFF"/>
            </w:rPr>
            <w:t xml:space="preserve"> </w:t>
          </w:r>
          <w:r w:rsidR="009E45A0" w:rsidRPr="009E45A0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shd w:val="clear" w:color="auto" w:fill="FFFFFF"/>
            </w:rPr>
            <w:t>[1]</w:t>
          </w:r>
          <w:r w:rsidR="009E45A0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1603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020C7DB" w14:textId="4D33DD67" w:rsidR="00661DB2" w:rsidRDefault="004D2D0A" w:rsidP="0028582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 the energy used by WWTPs, aeration is by far the largest energy sink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contributing to </w:t>
      </w:r>
      <w:r w:rsidR="00965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anywhere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from 50-80% of total energy use. </w:t>
      </w:r>
      <w:r w:rsidR="003E335A" w:rsidRPr="007F06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Aeration is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essential</w:t>
      </w:r>
      <w:r w:rsidR="003E335A" w:rsidRPr="007F06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conventional and advanced wastewater treatment processes</w:t>
      </w:r>
      <w:r w:rsidR="00965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such as membrane bioreactors (MBRs)</w:t>
      </w:r>
      <w:proofErr w:type="gramStart"/>
      <w:r w:rsidR="004A0B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proofErr w:type="gramEnd"/>
      <w:r w:rsidR="003E3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supporting</w:t>
      </w:r>
      <w:r w:rsidR="003E335A" w:rsidRPr="007F06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rapid growth of microorganisms </w:t>
      </w:r>
      <w:r w:rsidR="003E3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</w:t>
      </w:r>
      <w:r w:rsidR="003E335A" w:rsidRPr="007F06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organic matter digestion</w:t>
      </w:r>
      <w:r w:rsidR="003E3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and </w:t>
      </w:r>
      <w:r w:rsidR="003E335A" w:rsidRPr="007F06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controlling</w:t>
      </w:r>
      <w:r w:rsidR="003E3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fouling and performance in MBR</w:t>
      </w:r>
      <w:r w:rsidR="00621D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through surface scouring</w:t>
      </w:r>
      <w:r w:rsidR="003E335A" w:rsidRPr="007F06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3E3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6B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However</w:t>
      </w:r>
      <w:r w:rsidR="003E3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1603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these</w:t>
      </w:r>
      <w:r w:rsidR="00986C26" w:rsidRPr="007F06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aeration processes suffer significant energy losses through </w:t>
      </w:r>
      <w:r w:rsidR="006B36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poor</w:t>
      </w:r>
      <w:r w:rsidR="00986C26" w:rsidRPr="007F06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oxygen and energy transfer. </w:t>
      </w:r>
      <w:r w:rsidR="00146B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Therefore</w:t>
      </w:r>
      <w:r w:rsidR="00986C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1603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A0B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WWTP operators and </w:t>
      </w:r>
      <w:r w:rsidR="003E3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technology providers have </w:t>
      </w:r>
      <w:r w:rsidR="004A0B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focused considerable attention on </w:t>
      </w:r>
      <w:r w:rsidR="00621D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optimising</w:t>
      </w:r>
      <w:r w:rsidR="001603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6C26" w:rsidRPr="007F06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aeration process</w:t>
      </w:r>
      <w:r w:rsidR="003E3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 </w:t>
      </w:r>
      <w:r w:rsidR="00621D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</w:t>
      </w:r>
      <w:r w:rsidR="004A0B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5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improving</w:t>
      </w:r>
      <w:r w:rsidR="00621D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D49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operating process</w:t>
      </w:r>
      <w:r w:rsidR="00621D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</w:t>
      </w:r>
      <w:r w:rsidR="00DD49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id w:val="383608080"/>
          <w:citation/>
        </w:sdtPr>
        <w:sdtEndPr/>
        <w:sdtContent>
          <w:r w:rsidR="00621D4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fldChar w:fldCharType="begin"/>
          </w:r>
          <w:r w:rsidR="00621D4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instrText xml:space="preserve"> CITATION Eki17 \l 3081 </w:instrText>
          </w:r>
          <w:r w:rsidR="00621D4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fldChar w:fldCharType="separate"/>
          </w:r>
          <w:r w:rsidR="00F17590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shd w:val="clear" w:color="auto" w:fill="FFFFFF"/>
            </w:rPr>
            <w:t xml:space="preserve"> </w:t>
          </w:r>
          <w:r w:rsidR="00F17590" w:rsidRPr="00F17590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shd w:val="clear" w:color="auto" w:fill="FFFFFF"/>
            </w:rPr>
            <w:t>[1]</w:t>
          </w:r>
          <w:r w:rsidR="00621D4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DD49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58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control</w:t>
      </w:r>
      <w:r w:rsidR="00621D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systems</w:t>
      </w:r>
      <w:r w:rsidR="000058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id w:val="1693421135"/>
          <w:citation/>
        </w:sdtPr>
        <w:sdtEndPr/>
        <w:sdtContent>
          <w:r w:rsidR="00005854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fldChar w:fldCharType="begin"/>
          </w:r>
          <w:r w:rsidR="00005854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instrText xml:space="preserve"> CITATION Che22 \l 3081 </w:instrText>
          </w:r>
          <w:r w:rsidR="00005854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fldChar w:fldCharType="separate"/>
          </w:r>
          <w:r w:rsidR="00F17590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shd w:val="clear" w:color="auto" w:fill="FFFFFF"/>
            </w:rPr>
            <w:t xml:space="preserve"> </w:t>
          </w:r>
          <w:r w:rsidR="00F17590" w:rsidRPr="00F17590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shd w:val="clear" w:color="auto" w:fill="FFFFFF"/>
            </w:rPr>
            <w:t>[2]</w:t>
          </w:r>
          <w:r w:rsidR="00005854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0058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A0B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product design</w:t>
      </w:r>
      <w:r w:rsidR="00621D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D06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id w:val="-47836439"/>
          <w:citation/>
        </w:sdtPr>
        <w:sdtEndPr/>
        <w:sdtContent>
          <w:r w:rsidR="00F17590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fldChar w:fldCharType="begin"/>
          </w:r>
          <w:r w:rsidR="00F17590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instrText xml:space="preserve"> CITATION Miy18 \l 3081 </w:instrText>
          </w:r>
          <w:r w:rsidR="00F17590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fldChar w:fldCharType="separate"/>
          </w:r>
          <w:r w:rsidR="00F17590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shd w:val="clear" w:color="auto" w:fill="FFFFFF"/>
            </w:rPr>
            <w:t xml:space="preserve"> </w:t>
          </w:r>
          <w:r w:rsidR="00F17590" w:rsidRPr="00F17590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shd w:val="clear" w:color="auto" w:fill="FFFFFF"/>
            </w:rPr>
            <w:t>[3]</w:t>
          </w:r>
          <w:r w:rsidR="00F17590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D06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r w:rsidR="00621D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aeration technologies.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id w:val="965924067"/>
          <w:citation/>
        </w:sdtPr>
        <w:sdtEndPr/>
        <w:sdtContent>
          <w:r w:rsidR="00D061EA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fldChar w:fldCharType="begin"/>
          </w:r>
          <w:r w:rsidR="00D061EA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instrText xml:space="preserve"> CITATION Sie08 \l 3081 </w:instrText>
          </w:r>
          <w:r w:rsidR="00D061EA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fldChar w:fldCharType="separate"/>
          </w:r>
          <w:r w:rsidR="00F17590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shd w:val="clear" w:color="auto" w:fill="FFFFFF"/>
            </w:rPr>
            <w:t xml:space="preserve"> </w:t>
          </w:r>
          <w:r w:rsidR="00F17590" w:rsidRPr="00F17590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shd w:val="clear" w:color="auto" w:fill="FFFFFF"/>
            </w:rPr>
            <w:t>[4]</w:t>
          </w:r>
          <w:r w:rsidR="00D061EA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FA19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8551861" w14:textId="7E097DB3" w:rsidR="0028582D" w:rsidRDefault="00F17590" w:rsidP="0028582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Advances in MBR aeration efficiency have been particularly significant, with aeration energy for MBRs becoming </w:t>
      </w:r>
      <w:r w:rsidR="00965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more</w:t>
      </w:r>
      <w:r w:rsidR="00146B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competitive </w:t>
      </w:r>
      <w:r w:rsidR="00965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with</w:t>
      </w:r>
      <w:r w:rsidR="00146B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conventional activated sludge (CAS) processes</w:t>
      </w:r>
      <w:r w:rsidR="00146B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65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While MBRs still generally use more energy than CAS process</w:t>
      </w:r>
      <w:r w:rsidR="0066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</w:t>
      </w:r>
      <w:r w:rsidR="00965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improvements to this technology has shifted </w:t>
      </w:r>
      <w:r w:rsidR="00146B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285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focus</w:t>
      </w:r>
      <w:r w:rsidR="00146B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85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for membrane technology </w:t>
      </w:r>
      <w:r w:rsidR="00965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providers </w:t>
      </w:r>
      <w:r w:rsidR="00711C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away from</w:t>
      </w:r>
      <w:r w:rsidR="007614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5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just</w:t>
      </w:r>
      <w:r w:rsidR="00285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improv</w:t>
      </w:r>
      <w:r w:rsidR="00965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ing</w:t>
      </w:r>
      <w:r w:rsidR="00285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11C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proofErr w:type="gramStart"/>
      <w:r w:rsidR="00965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membrane </w:t>
      </w:r>
      <w:r w:rsidR="004C1C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process energy</w:t>
      </w:r>
      <w:r w:rsidR="00965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efficiency</w:t>
      </w:r>
      <w:proofErr w:type="gramEnd"/>
      <w:r w:rsidR="00965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on</w:t>
      </w:r>
      <w:r w:rsidR="00285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improv</w:t>
      </w:r>
      <w:r w:rsidR="004C1C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ing</w:t>
      </w:r>
      <w:r w:rsidR="00285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</w:t>
      </w:r>
      <w:r w:rsidR="00965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total biological </w:t>
      </w:r>
      <w:r w:rsidR="004C1C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treatment </w:t>
      </w:r>
      <w:r w:rsidR="00965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process</w:t>
      </w:r>
      <w:r w:rsidR="00285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4B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aeration</w:t>
      </w:r>
      <w:r w:rsidR="00285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efficiency</w:t>
      </w:r>
      <w:r w:rsidR="004C1C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11C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BD3F4A9" w14:textId="418BC65E" w:rsidR="0028582D" w:rsidRDefault="0028582D" w:rsidP="0028582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 this paper we will review and discuss the impacts of product and plant designs, and pulsed aeration </w:t>
      </w:r>
      <w:r w:rsidR="00711C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improvements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 MBR energy usage and carbon footprints</w:t>
      </w:r>
      <w:r w:rsidR="0066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giving examples from some MBR plants around the world. In addition, we will also touch on </w:t>
      </w:r>
      <w:r w:rsidR="00711C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some emerging membrane technolog</w:t>
      </w:r>
      <w:r w:rsidR="0066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ies </w:t>
      </w:r>
      <w:proofErr w:type="gramStart"/>
      <w:r w:rsidR="0066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being used</w:t>
      </w:r>
      <w:proofErr w:type="gramEnd"/>
      <w:r w:rsidR="0066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1C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 provide further energy savings </w:t>
      </w:r>
      <w:r w:rsidR="0066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711C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WWT</w:t>
      </w:r>
      <w:r w:rsidR="004C1C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711C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such as </w:t>
      </w:r>
      <w:r w:rsidR="004C1C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membrane aerated bioreactors (MABR).</w:t>
      </w:r>
    </w:p>
    <w:p w14:paraId="1DCBFC0A" w14:textId="77777777" w:rsidR="004C1C12" w:rsidRDefault="004C1C12" w:rsidP="0028582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9A54B11" w14:textId="4D5DBA4E" w:rsidR="00146B73" w:rsidRDefault="00146B73" w:rsidP="00986C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8D57254" w14:textId="7A961E2E" w:rsidR="009E5FD8" w:rsidRDefault="009E5FD8" w:rsidP="00986C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6C6A815" w14:textId="011BF559" w:rsidR="0013293E" w:rsidRDefault="0013293E" w:rsidP="00986C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28A00A36" wp14:editId="7D0AB318">
            <wp:extent cx="3701414" cy="3453765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31D892B-2FC0-40D1-B8CB-E79866B455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841011F" w14:textId="4344B40D" w:rsidR="00CC4536" w:rsidRDefault="00CC4536" w:rsidP="00986C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</w:t>
      </w:r>
      <w:r w:rsidR="001B64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Historical </w:t>
      </w:r>
      <w:r w:rsidR="006553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improvement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MBR energy demand </w:t>
      </w:r>
      <w:r w:rsidR="006553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over time </w:t>
      </w:r>
      <w:r w:rsidR="00711C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is </w:t>
      </w:r>
      <w:r w:rsidR="006553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compared to</w:t>
      </w:r>
      <w:r w:rsidR="00711C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‘typical’ energy demand </w:t>
      </w:r>
      <w:r w:rsidR="001B64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range </w:t>
      </w:r>
      <w:r w:rsidR="00711C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for </w:t>
      </w:r>
      <w:r w:rsidR="006553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conventional activated sludge (CAS) processes.</w:t>
      </w:r>
    </w:p>
    <w:p w14:paraId="082661CF" w14:textId="0717C2B6" w:rsidR="00EA5864" w:rsidRDefault="00EA5864" w:rsidP="00021E3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color w:val="000000" w:themeColor="text1"/>
          <w:shd w:val="clear" w:color="auto" w:fill="FFFFFF"/>
        </w:rPr>
        <w:drawing>
          <wp:inline distT="0" distB="0" distL="0" distR="0" wp14:anchorId="3595650F" wp14:editId="199AD74B">
            <wp:extent cx="1518907" cy="2541182"/>
            <wp:effectExtent l="0" t="0" r="5715" b="0"/>
            <wp:docPr id="4" name="Picture 4" descr="A picture containing indoor,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door, fl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03" cy="255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  <w:color w:val="000000" w:themeColor="text1"/>
          <w:shd w:val="clear" w:color="auto" w:fill="FFFFFF"/>
        </w:rPr>
        <w:drawing>
          <wp:inline distT="0" distB="0" distL="0" distR="0" wp14:anchorId="20775E30" wp14:editId="301404B1">
            <wp:extent cx="2287801" cy="25400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91" cy="256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D32FC6C" w14:textId="7674B482" w:rsidR="00021E37" w:rsidRDefault="00021E37" w:rsidP="00021E3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</w:t>
      </w:r>
      <w:r w:rsidR="001B64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B64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Photos of (left) </w:t>
      </w:r>
      <w:proofErr w:type="spellStart"/>
      <w:r w:rsidR="001B64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MemPulse</w:t>
      </w:r>
      <w:proofErr w:type="spellEnd"/>
      <w:r w:rsidR="001B64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MBR modules being installed in China, and (right) a m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embrane operating system (MOS) tank in operation</w:t>
      </w:r>
      <w:r w:rsidR="001B64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Italy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val="en-AU" w:eastAsia="zh-CN"/>
        </w:rPr>
        <w:id w:val="-216969799"/>
        <w:docPartObj>
          <w:docPartGallery w:val="Bibliographies"/>
          <w:docPartUnique/>
        </w:docPartObj>
      </w:sdtPr>
      <w:sdtEndPr/>
      <w:sdtContent>
        <w:sdt>
          <w:sdtPr>
            <w:rPr>
              <w:rFonts w:ascii="Times New Roman" w:eastAsiaTheme="minorEastAsia" w:hAnsi="Times New Roman" w:cs="Times New Roman"/>
              <w:color w:val="auto"/>
              <w:sz w:val="24"/>
              <w:szCs w:val="24"/>
              <w:lang w:val="en-AU" w:eastAsia="zh-CN"/>
            </w:rPr>
            <w:id w:val="-573587230"/>
            <w:bibliography/>
          </w:sdtPr>
          <w:sdtEndPr/>
          <w:sdtContent>
            <w:p w14:paraId="37D59AD9" w14:textId="4FF86108" w:rsidR="00B94B17" w:rsidRPr="004C1C12" w:rsidRDefault="00B94B17" w:rsidP="004C1C12">
              <w:pPr>
                <w:pStyle w:val="Heading1"/>
                <w:spacing w:before="0" w:line="240" w:lineRule="auto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C1C12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1C12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4C1C12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55"/>
                <w:gridCol w:w="8671"/>
              </w:tblGrid>
              <w:tr w:rsidR="00B94B17" w:rsidRPr="004C1C12" w14:paraId="02443FE6" w14:textId="77777777">
                <w:trPr>
                  <w:divId w:val="133799668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B4773CF" w14:textId="43F562A1" w:rsidR="00B94B17" w:rsidRPr="004C1C12" w:rsidRDefault="00B94B17" w:rsidP="00B94B17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en-US"/>
                      </w:rPr>
                    </w:pPr>
                    <w:r w:rsidRPr="004C1C12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en-US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F329327" w14:textId="77777777" w:rsidR="00B94B17" w:rsidRPr="004C1C12" w:rsidRDefault="00B94B17" w:rsidP="00B94B17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en-US"/>
                      </w:rPr>
                    </w:pPr>
                    <w:r w:rsidRPr="004C1C12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en-US"/>
                      </w:rPr>
                      <w:t xml:space="preserve">K. Ekici, Energy Saving Preventions for Aeration Process in Wastewater Treatment Plant, 2017. </w:t>
                    </w:r>
                  </w:p>
                </w:tc>
              </w:tr>
              <w:tr w:rsidR="00B94B17" w:rsidRPr="004C1C12" w14:paraId="55F4CCA9" w14:textId="77777777">
                <w:trPr>
                  <w:divId w:val="133799668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F54106E" w14:textId="77777777" w:rsidR="00B94B17" w:rsidRPr="004C1C12" w:rsidRDefault="00B94B17" w:rsidP="00B94B17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en-US"/>
                      </w:rPr>
                    </w:pPr>
                    <w:r w:rsidRPr="004C1C12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en-US"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7071672" w14:textId="77777777" w:rsidR="00B94B17" w:rsidRPr="004C1C12" w:rsidRDefault="00B94B17" w:rsidP="00B94B17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en-US"/>
                      </w:rPr>
                    </w:pPr>
                    <w:r w:rsidRPr="004C1C12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en-US"/>
                      </w:rPr>
                      <w:t xml:space="preserve">Y. Chen, H. Zhang, Y. Yin, F. Zeng and Z. Cui, "Smart energy savings for aeration control in wastewater treatment," </w:t>
                    </w:r>
                    <w:r w:rsidRPr="004C1C12">
                      <w:rPr>
                        <w:rFonts w:ascii="Times New Roman" w:hAnsi="Times New Roman" w:cs="Times New Roman"/>
                        <w:i/>
                        <w:iCs/>
                        <w:noProof/>
                        <w:sz w:val="24"/>
                        <w:szCs w:val="24"/>
                        <w:lang w:val="en-US"/>
                      </w:rPr>
                      <w:t xml:space="preserve">Energy Reports, </w:t>
                    </w:r>
                    <w:r w:rsidRPr="004C1C12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en-US"/>
                      </w:rPr>
                      <w:t xml:space="preserve">pp. 1711-1721, 2022. </w:t>
                    </w:r>
                  </w:p>
                </w:tc>
              </w:tr>
              <w:tr w:rsidR="00B94B17" w:rsidRPr="004C1C12" w14:paraId="5B375DAA" w14:textId="77777777">
                <w:trPr>
                  <w:divId w:val="133799668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B5C408B" w14:textId="77777777" w:rsidR="00B94B17" w:rsidRPr="004C1C12" w:rsidRDefault="00B94B17" w:rsidP="00B94B17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en-US"/>
                      </w:rPr>
                    </w:pPr>
                    <w:r w:rsidRPr="004C1C12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en-US"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D24E379" w14:textId="77777777" w:rsidR="00B94B17" w:rsidRPr="004C1C12" w:rsidRDefault="00B94B17" w:rsidP="00B94B17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en-US"/>
                      </w:rPr>
                    </w:pPr>
                    <w:r w:rsidRPr="004C1C12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en-US"/>
                      </w:rPr>
                      <w:t xml:space="preserve">T. Miyoshi, T. P. Nguyen, T. Tsumuraya, H. Tanaka and T. Morita, "Energy reduction of a submerged membrane bioreactor using a polytetrafluoroethylene (PTFE) hollow-fiber membrane," </w:t>
                    </w:r>
                    <w:r w:rsidRPr="004C1C12">
                      <w:rPr>
                        <w:rFonts w:ascii="Times New Roman" w:hAnsi="Times New Roman" w:cs="Times New Roman"/>
                        <w:i/>
                        <w:iCs/>
                        <w:noProof/>
                        <w:sz w:val="24"/>
                        <w:szCs w:val="24"/>
                        <w:lang w:val="en-US"/>
                      </w:rPr>
                      <w:t xml:space="preserve">Frontiers of environmental science &amp; engineering, </w:t>
                    </w:r>
                    <w:r w:rsidRPr="004C1C12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en-US"/>
                      </w:rPr>
                      <w:t xml:space="preserve">vol. 12, no. 3, 2018. </w:t>
                    </w:r>
                  </w:p>
                </w:tc>
              </w:tr>
              <w:tr w:rsidR="00B94B17" w:rsidRPr="004C1C12" w14:paraId="7C05807A" w14:textId="77777777">
                <w:trPr>
                  <w:divId w:val="133799668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6113240" w14:textId="77777777" w:rsidR="00B94B17" w:rsidRPr="004C1C12" w:rsidRDefault="00B94B17" w:rsidP="00B94B17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en-US"/>
                      </w:rPr>
                    </w:pPr>
                    <w:r w:rsidRPr="004C1C12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en-US"/>
                      </w:rPr>
                      <w:lastRenderedPageBreak/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CC1A5E2" w14:textId="77777777" w:rsidR="00B94B17" w:rsidRPr="004C1C12" w:rsidRDefault="00B94B17" w:rsidP="00B94B17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en-US"/>
                      </w:rPr>
                    </w:pPr>
                    <w:r w:rsidRPr="004C1C12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en-US"/>
                      </w:rPr>
                      <w:t xml:space="preserve">"Siemens' pulsed-air MBR reduces operating costs," </w:t>
                    </w:r>
                    <w:r w:rsidRPr="004C1C12">
                      <w:rPr>
                        <w:rFonts w:ascii="Times New Roman" w:hAnsi="Times New Roman" w:cs="Times New Roman"/>
                        <w:i/>
                        <w:iCs/>
                        <w:noProof/>
                        <w:sz w:val="24"/>
                        <w:szCs w:val="24"/>
                        <w:lang w:val="en-US"/>
                      </w:rPr>
                      <w:t xml:space="preserve">Membrane Technology, </w:t>
                    </w:r>
                    <w:r w:rsidRPr="004C1C12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en-US"/>
                      </w:rPr>
                      <w:t xml:space="preserve">p. 3, November 2008. </w:t>
                    </w:r>
                  </w:p>
                </w:tc>
              </w:tr>
            </w:tbl>
            <w:p w14:paraId="7A1EBD0E" w14:textId="77777777" w:rsidR="00B94B17" w:rsidRPr="004C1C12" w:rsidRDefault="00B94B17" w:rsidP="00B94B17">
              <w:pPr>
                <w:spacing w:after="0" w:line="240" w:lineRule="auto"/>
                <w:divId w:val="1337996683"/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</w:pPr>
            </w:p>
            <w:p w14:paraId="7730E2C0" w14:textId="23A20351" w:rsidR="00B94B17" w:rsidRPr="004C1C12" w:rsidRDefault="00B94B17" w:rsidP="00B94B17">
              <w:pPr>
                <w:spacing w:after="0" w:line="240" w:lineRule="auto"/>
                <w:rPr>
                  <w:sz w:val="24"/>
                  <w:szCs w:val="24"/>
                </w:rPr>
              </w:pPr>
              <w:r w:rsidRPr="004C1C12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7BAE1B3B" w14:textId="77777777" w:rsidR="00F7260E" w:rsidRDefault="00F7260E" w:rsidP="007F06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A701E92" w14:textId="49A9831D" w:rsidR="00243426" w:rsidRPr="00F150E9" w:rsidRDefault="00F7260E" w:rsidP="00B94B1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864">
        <w:t> </w:t>
      </w:r>
    </w:p>
    <w:p w14:paraId="7206F4EF" w14:textId="77777777" w:rsidR="0021744E" w:rsidRPr="00554A4E" w:rsidRDefault="0021744E">
      <w:pPr>
        <w:rPr>
          <w:rFonts w:ascii="Times New Roman" w:hAnsi="Times New Roman" w:cs="Times New Roman"/>
          <w:color w:val="000000" w:themeColor="text1"/>
        </w:rPr>
      </w:pPr>
    </w:p>
    <w:p w14:paraId="0FEF6A64" w14:textId="1A66E64B" w:rsidR="007F10C3" w:rsidRPr="00343728" w:rsidRDefault="007F10C3">
      <w:pPr>
        <w:rPr>
          <w:rFonts w:ascii="Times New Roman" w:hAnsi="Times New Roman" w:cs="Times New Roman"/>
          <w:sz w:val="24"/>
          <w:szCs w:val="24"/>
        </w:rPr>
      </w:pPr>
      <w:r w:rsidRPr="00F150E9">
        <w:rPr>
          <w:rFonts w:ascii="Times New Roman" w:hAnsi="Times New Roman" w:cs="Times New Roman"/>
          <w:b/>
          <w:sz w:val="24"/>
          <w:szCs w:val="24"/>
        </w:rPr>
        <w:t>Keywords</w:t>
      </w:r>
      <w:r w:rsidRPr="00343728">
        <w:rPr>
          <w:rFonts w:ascii="Times New Roman" w:hAnsi="Times New Roman" w:cs="Times New Roman"/>
          <w:sz w:val="24"/>
          <w:szCs w:val="24"/>
        </w:rPr>
        <w:t xml:space="preserve">: </w:t>
      </w:r>
      <w:r w:rsidR="004C1C12">
        <w:rPr>
          <w:rFonts w:ascii="Times New Roman" w:hAnsi="Times New Roman" w:cs="Times New Roman"/>
          <w:sz w:val="24"/>
          <w:szCs w:val="24"/>
        </w:rPr>
        <w:t>MBR, Pulsed Aeration, Wastewater Treatment, Membranes</w:t>
      </w:r>
    </w:p>
    <w:p w14:paraId="6ED131A7" w14:textId="77777777" w:rsidR="007F10C3" w:rsidRPr="00554A4E" w:rsidRDefault="007F10C3">
      <w:pPr>
        <w:rPr>
          <w:rFonts w:ascii="Times New Roman" w:hAnsi="Times New Roman" w:cs="Times New Roman"/>
          <w:sz w:val="24"/>
          <w:szCs w:val="24"/>
        </w:rPr>
      </w:pPr>
    </w:p>
    <w:p w14:paraId="6A6ABDC4" w14:textId="7E51AE47" w:rsidR="00243426" w:rsidRPr="00554A4E" w:rsidRDefault="00D44B34" w:rsidP="00D44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  <w:r w:rsidRPr="00554A4E">
        <w:rPr>
          <w:rFonts w:ascii="Times New Roman" w:hAnsi="Times New Roman" w:cs="Times New Roman"/>
          <w:b/>
          <w:sz w:val="24"/>
          <w:szCs w:val="24"/>
          <w:lang w:val="en-NZ"/>
        </w:rPr>
        <w:t>Presenting author details</w:t>
      </w:r>
    </w:p>
    <w:p w14:paraId="1D5D8438" w14:textId="3D2F96D3" w:rsidR="00243426" w:rsidRPr="00554A4E" w:rsidRDefault="00D44B34" w:rsidP="00D44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  <w:r w:rsidRPr="00554A4E">
        <w:rPr>
          <w:rFonts w:ascii="Times New Roman" w:hAnsi="Times New Roman" w:cs="Times New Roman"/>
          <w:sz w:val="24"/>
          <w:szCs w:val="24"/>
          <w:lang w:val="en-NZ"/>
        </w:rPr>
        <w:t>Full name:</w:t>
      </w:r>
      <w:r w:rsidR="004C1C12">
        <w:rPr>
          <w:rFonts w:ascii="Times New Roman" w:hAnsi="Times New Roman" w:cs="Times New Roman"/>
          <w:sz w:val="24"/>
          <w:szCs w:val="24"/>
          <w:lang w:val="en-NZ"/>
        </w:rPr>
        <w:t xml:space="preserve"> Geoffrey Johnston-Hall</w:t>
      </w:r>
    </w:p>
    <w:p w14:paraId="27A62B24" w14:textId="36E9E2FB" w:rsidR="00243426" w:rsidRPr="00554A4E" w:rsidRDefault="00D44B34" w:rsidP="00D44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  <w:r w:rsidRPr="00554A4E">
        <w:rPr>
          <w:rFonts w:ascii="Times New Roman" w:hAnsi="Times New Roman" w:cs="Times New Roman"/>
          <w:sz w:val="24"/>
          <w:szCs w:val="24"/>
          <w:lang w:val="en-NZ"/>
        </w:rPr>
        <w:t>Email:</w:t>
      </w:r>
      <w:r w:rsidR="004C1C12">
        <w:rPr>
          <w:rFonts w:ascii="Times New Roman" w:hAnsi="Times New Roman" w:cs="Times New Roman"/>
          <w:sz w:val="24"/>
          <w:szCs w:val="24"/>
          <w:lang w:val="en-NZ"/>
        </w:rPr>
        <w:t xml:space="preserve"> Geoffrey.johnstonhall@dupont.com</w:t>
      </w:r>
    </w:p>
    <w:p w14:paraId="2CD1D2E7" w14:textId="3E9F78D9" w:rsidR="00243426" w:rsidRPr="00554A4E" w:rsidRDefault="00D44B34" w:rsidP="00D44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  <w:r w:rsidRPr="00554A4E">
        <w:rPr>
          <w:rFonts w:ascii="Times New Roman" w:hAnsi="Times New Roman" w:cs="Times New Roman"/>
          <w:sz w:val="24"/>
          <w:szCs w:val="24"/>
          <w:lang w:val="en-NZ"/>
        </w:rPr>
        <w:t>Contact number:</w:t>
      </w:r>
      <w:r w:rsidR="004C1C12">
        <w:rPr>
          <w:rFonts w:ascii="Times New Roman" w:hAnsi="Times New Roman" w:cs="Times New Roman"/>
          <w:sz w:val="24"/>
          <w:szCs w:val="24"/>
          <w:lang w:val="en-NZ"/>
        </w:rPr>
        <w:t xml:space="preserve"> 0424092949</w:t>
      </w:r>
    </w:p>
    <w:p w14:paraId="0894C50F" w14:textId="6BC2918D" w:rsidR="00243426" w:rsidRPr="00554A4E" w:rsidRDefault="00F150E9" w:rsidP="00D44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  <w:r w:rsidRPr="00554A4E">
        <w:rPr>
          <w:rFonts w:ascii="Times New Roman" w:hAnsi="Times New Roman" w:cs="Times New Roman"/>
          <w:sz w:val="24"/>
          <w:szCs w:val="24"/>
          <w:lang w:val="en-NZ"/>
        </w:rPr>
        <w:t>Affiliation</w:t>
      </w:r>
      <w:r w:rsidR="00243426" w:rsidRPr="00554A4E">
        <w:rPr>
          <w:rFonts w:ascii="Times New Roman" w:hAnsi="Times New Roman" w:cs="Times New Roman"/>
          <w:sz w:val="24"/>
          <w:szCs w:val="24"/>
          <w:lang w:val="en-NZ"/>
        </w:rPr>
        <w:t>:</w:t>
      </w:r>
      <w:r w:rsidR="004C1C12">
        <w:rPr>
          <w:rFonts w:ascii="Times New Roman" w:hAnsi="Times New Roman" w:cs="Times New Roman"/>
          <w:sz w:val="24"/>
          <w:szCs w:val="24"/>
          <w:lang w:val="en-NZ"/>
        </w:rPr>
        <w:t xml:space="preserve"> DuPont Water Solutions</w:t>
      </w:r>
    </w:p>
    <w:p w14:paraId="4E587B75" w14:textId="680D240F" w:rsidR="00243426" w:rsidRPr="00554A4E" w:rsidRDefault="00D44B34" w:rsidP="00D44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  <w:r w:rsidRPr="00554A4E">
        <w:rPr>
          <w:rFonts w:ascii="Times New Roman" w:hAnsi="Times New Roman" w:cs="Times New Roman"/>
          <w:sz w:val="24"/>
          <w:szCs w:val="24"/>
          <w:lang w:val="en-NZ"/>
        </w:rPr>
        <w:t>Topic name</w:t>
      </w:r>
      <w:r w:rsidR="00F150E9" w:rsidRPr="00554A4E">
        <w:rPr>
          <w:rFonts w:ascii="Times New Roman" w:hAnsi="Times New Roman" w:cs="Times New Roman"/>
          <w:sz w:val="24"/>
          <w:szCs w:val="24"/>
          <w:lang w:val="en-NZ"/>
        </w:rPr>
        <w:t xml:space="preserve"> </w:t>
      </w:r>
      <w:r w:rsidRPr="00554A4E">
        <w:rPr>
          <w:rFonts w:ascii="Times New Roman" w:hAnsi="Times New Roman" w:cs="Times New Roman"/>
          <w:sz w:val="24"/>
          <w:szCs w:val="24"/>
          <w:lang w:val="en-NZ"/>
        </w:rPr>
        <w:t>/ number:</w:t>
      </w:r>
    </w:p>
    <w:p w14:paraId="33851B62" w14:textId="5D838176" w:rsidR="00D44B34" w:rsidRPr="00554A4E" w:rsidRDefault="00D44B34" w:rsidP="00D44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  <w:r w:rsidRPr="00554A4E">
        <w:rPr>
          <w:rFonts w:ascii="Times New Roman" w:hAnsi="Times New Roman" w:cs="Times New Roman"/>
          <w:sz w:val="24"/>
          <w:szCs w:val="24"/>
          <w:lang w:val="en-NZ"/>
        </w:rPr>
        <w:t>Category preferred: Oral presentation</w:t>
      </w:r>
    </w:p>
    <w:p w14:paraId="14785D50" w14:textId="190A77EB" w:rsidR="007F10C3" w:rsidRDefault="002434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50E9">
        <w:rPr>
          <w:rFonts w:ascii="Times New Roman" w:hAnsi="Times New Roman" w:cs="Times New Roman"/>
          <w:sz w:val="24"/>
          <w:szCs w:val="24"/>
          <w:lang w:val="en-US"/>
        </w:rPr>
        <w:t>Would you like to be cons</w:t>
      </w:r>
      <w:r w:rsidRPr="00343728">
        <w:rPr>
          <w:rFonts w:ascii="Times New Roman" w:hAnsi="Times New Roman" w:cs="Times New Roman"/>
          <w:sz w:val="24"/>
          <w:szCs w:val="24"/>
          <w:lang w:val="en-US"/>
        </w:rPr>
        <w:t>idered for a presentation award</w:t>
      </w:r>
      <w:r w:rsidR="004B6416">
        <w:rPr>
          <w:rFonts w:ascii="Times New Roman" w:hAnsi="Times New Roman" w:cs="Times New Roman"/>
          <w:sz w:val="24"/>
          <w:szCs w:val="24"/>
          <w:lang w:val="en-US"/>
        </w:rPr>
        <w:t xml:space="preserve"> (Student and ECR only, please check eligibility on </w:t>
      </w:r>
      <w:hyperlink r:id="rId8" w:history="1">
        <w:r w:rsidR="006A738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www.imstec2022</w:t>
        </w:r>
        <w:r w:rsidR="004B6416" w:rsidRPr="00D8237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proofErr w:type="gramStart"/>
      <w:r w:rsidR="006A7384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org</w:t>
      </w:r>
      <w:proofErr w:type="gramEnd"/>
      <w:r w:rsidR="004B641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3728">
        <w:rPr>
          <w:rFonts w:ascii="Times New Roman" w:hAnsi="Times New Roman" w:cs="Times New Roman"/>
          <w:sz w:val="24"/>
          <w:szCs w:val="24"/>
          <w:lang w:val="en-US"/>
        </w:rPr>
        <w:t>?: No</w:t>
      </w:r>
    </w:p>
    <w:p w14:paraId="04517914" w14:textId="449E9E27" w:rsidR="0073036C" w:rsidRDefault="0073036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260641" w14:textId="77777777" w:rsidR="0073036C" w:rsidRPr="00343728" w:rsidRDefault="0073036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3036C" w:rsidRPr="00343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4E"/>
    <w:rsid w:val="00005854"/>
    <w:rsid w:val="00021E37"/>
    <w:rsid w:val="00055A25"/>
    <w:rsid w:val="0013293E"/>
    <w:rsid w:val="00146B73"/>
    <w:rsid w:val="001603F3"/>
    <w:rsid w:val="001B64F7"/>
    <w:rsid w:val="0021744E"/>
    <w:rsid w:val="0023011B"/>
    <w:rsid w:val="00243426"/>
    <w:rsid w:val="002607F1"/>
    <w:rsid w:val="0028582D"/>
    <w:rsid w:val="00290461"/>
    <w:rsid w:val="002E197C"/>
    <w:rsid w:val="002E681F"/>
    <w:rsid w:val="00343728"/>
    <w:rsid w:val="003C02D5"/>
    <w:rsid w:val="003E335A"/>
    <w:rsid w:val="003F0EAA"/>
    <w:rsid w:val="004A0B44"/>
    <w:rsid w:val="004B6416"/>
    <w:rsid w:val="004C1C12"/>
    <w:rsid w:val="004D2D0A"/>
    <w:rsid w:val="00546DF7"/>
    <w:rsid w:val="00554A4E"/>
    <w:rsid w:val="00590F19"/>
    <w:rsid w:val="005A478C"/>
    <w:rsid w:val="005E4AAC"/>
    <w:rsid w:val="00621D42"/>
    <w:rsid w:val="006411D9"/>
    <w:rsid w:val="006553BD"/>
    <w:rsid w:val="00661DB2"/>
    <w:rsid w:val="006635DB"/>
    <w:rsid w:val="00687A70"/>
    <w:rsid w:val="006A7384"/>
    <w:rsid w:val="006B3634"/>
    <w:rsid w:val="006C4F32"/>
    <w:rsid w:val="00711C47"/>
    <w:rsid w:val="0073036C"/>
    <w:rsid w:val="0076142E"/>
    <w:rsid w:val="007F067C"/>
    <w:rsid w:val="007F10C3"/>
    <w:rsid w:val="007F20AF"/>
    <w:rsid w:val="007F3698"/>
    <w:rsid w:val="00866726"/>
    <w:rsid w:val="00870087"/>
    <w:rsid w:val="008F41A0"/>
    <w:rsid w:val="00965300"/>
    <w:rsid w:val="00986C26"/>
    <w:rsid w:val="00991A1B"/>
    <w:rsid w:val="009E45A0"/>
    <w:rsid w:val="009E5FD8"/>
    <w:rsid w:val="00A87A20"/>
    <w:rsid w:val="00B04CC9"/>
    <w:rsid w:val="00B21D69"/>
    <w:rsid w:val="00B94B17"/>
    <w:rsid w:val="00BA34F8"/>
    <w:rsid w:val="00BF7318"/>
    <w:rsid w:val="00CC4536"/>
    <w:rsid w:val="00CD56BE"/>
    <w:rsid w:val="00D061EA"/>
    <w:rsid w:val="00D22F5C"/>
    <w:rsid w:val="00D44B34"/>
    <w:rsid w:val="00DD4950"/>
    <w:rsid w:val="00DE3AE0"/>
    <w:rsid w:val="00E46E78"/>
    <w:rsid w:val="00E85358"/>
    <w:rsid w:val="00EA5864"/>
    <w:rsid w:val="00EF7741"/>
    <w:rsid w:val="00F150E9"/>
    <w:rsid w:val="00F17590"/>
    <w:rsid w:val="00F46CEE"/>
    <w:rsid w:val="00F57BDF"/>
    <w:rsid w:val="00F7260E"/>
    <w:rsid w:val="00F91F6F"/>
    <w:rsid w:val="00FA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D4D7D"/>
  <w15:docId w15:val="{7393669A-B456-9046-BE68-B39E8C04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B1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42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42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641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641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94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B94B1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C1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stec2020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eoff\Desktop\information%20for%20paper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 (Body)"/>
                <a:ea typeface="+mj-ea"/>
                <a:cs typeface="+mj-cs"/>
              </a:defRPr>
            </a:pPr>
            <a:r>
              <a:rPr lang="en-AU" sz="1200"/>
              <a:t>MBR Specific</a:t>
            </a:r>
            <a:r>
              <a:rPr lang="en-AU" sz="1200" baseline="0"/>
              <a:t> Energy Consumption</a:t>
            </a:r>
            <a:endParaRPr lang="en-AU" sz="1200"/>
          </a:p>
        </c:rich>
      </c:tx>
      <c:layout>
        <c:manualLayout>
          <c:xMode val="edge"/>
          <c:yMode val="edge"/>
          <c:x val="0.25952109112895771"/>
          <c:y val="5.38887272295596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Calibri (Body)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MBR Energy Demand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38100">
                <a:solidFill>
                  <a:schemeClr val="accent1">
                    <a:alpha val="60000"/>
                  </a:schemeClr>
                </a:solidFill>
              </a:ln>
              <a:effectLst/>
            </c:spPr>
          </c:marker>
          <c:trendline>
            <c:spPr>
              <a:ln w="15875" cap="rnd">
                <a:solidFill>
                  <a:schemeClr val="accent1"/>
                </a:solidFill>
                <a:prstDash val="dash"/>
              </a:ln>
              <a:effectLst/>
            </c:spPr>
            <c:trendlineType val="poly"/>
            <c:order val="2"/>
            <c:dispRSqr val="0"/>
            <c:dispEq val="0"/>
          </c:trendline>
          <c:xVal>
            <c:strRef>
              <c:f>Sheet1!$B$5:$B$16</c:f>
              <c:strCache>
                <c:ptCount val="12"/>
                <c:pt idx="0">
                  <c:v>MBR-FS</c:v>
                </c:pt>
                <c:pt idx="1">
                  <c:v>MBR-HF</c:v>
                </c:pt>
                <c:pt idx="2">
                  <c:v>MBR-HF</c:v>
                </c:pt>
                <c:pt idx="4">
                  <c:v>MBR-HF</c:v>
                </c:pt>
                <c:pt idx="5">
                  <c:v>MBR-HF</c:v>
                </c:pt>
                <c:pt idx="6">
                  <c:v>MBR-HF</c:v>
                </c:pt>
                <c:pt idx="8">
                  <c:v>CAS</c:v>
                </c:pt>
                <c:pt idx="9">
                  <c:v>CAS</c:v>
                </c:pt>
                <c:pt idx="10">
                  <c:v>CAS-MABR</c:v>
                </c:pt>
                <c:pt idx="11">
                  <c:v>CAS-MABR</c:v>
                </c:pt>
              </c:strCache>
            </c:strRef>
          </c:xVal>
          <c:yVal>
            <c:numRef>
              <c:f>Sheet1!$J$5:$J$10</c:f>
              <c:numCache>
                <c:formatCode>0.00</c:formatCode>
                <c:ptCount val="6"/>
                <c:pt idx="0">
                  <c:v>0.7</c:v>
                </c:pt>
                <c:pt idx="1">
                  <c:v>0.47599999999999998</c:v>
                </c:pt>
                <c:pt idx="2">
                  <c:v>0.42449999999999999</c:v>
                </c:pt>
                <c:pt idx="3">
                  <c:v>0.35000000000000003</c:v>
                </c:pt>
                <c:pt idx="4">
                  <c:v>0.32</c:v>
                </c:pt>
                <c:pt idx="5">
                  <c:v>0.3125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129-4323-A2C0-EBAA3C86DA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94084432"/>
        <c:axId val="1094069456"/>
      </c:scatterChart>
      <c:valAx>
        <c:axId val="109408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cap="non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Calibri (Body)"/>
                    <a:ea typeface="+mn-ea"/>
                    <a:cs typeface="+mn-cs"/>
                  </a:defRPr>
                </a:pPr>
                <a:r>
                  <a:rPr lang="en-AU" sz="1200" cap="none" baseline="0"/>
                  <a:t>Time (years)</a:t>
                </a:r>
              </a:p>
            </c:rich>
          </c:tx>
          <c:layout>
            <c:manualLayout>
              <c:xMode val="edge"/>
              <c:yMode val="edge"/>
              <c:x val="0.41728566434341047"/>
              <c:y val="0.86135643892753466"/>
            </c:manualLayout>
          </c:layout>
          <c:overlay val="0"/>
          <c:spPr>
            <a:solidFill>
              <a:schemeClr val="bg1"/>
            </a:solidFill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cap="none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Calibri (Body)"/>
                  <a:ea typeface="+mn-ea"/>
                  <a:cs typeface="+mn-cs"/>
                </a:defRPr>
              </a:pPr>
              <a:endParaRPr lang="en-US"/>
            </a:p>
          </c:txPr>
        </c:title>
        <c:majorTickMark val="none"/>
        <c:minorTickMark val="none"/>
        <c:tickLblPos val="nextTo"/>
        <c:spPr>
          <a:noFill/>
          <a:ln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bg1"/>
                </a:solidFill>
                <a:latin typeface="Calibri (Body)"/>
                <a:ea typeface="+mn-ea"/>
                <a:cs typeface="+mn-cs"/>
              </a:defRPr>
            </a:pPr>
            <a:endParaRPr lang="en-US"/>
          </a:p>
        </c:txPr>
        <c:crossAx val="1094069456"/>
        <c:crosses val="autoZero"/>
        <c:crossBetween val="midCat"/>
      </c:valAx>
      <c:valAx>
        <c:axId val="1094069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cap="non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Calibri (Body)"/>
                    <a:ea typeface="+mn-ea"/>
                    <a:cs typeface="+mn-cs"/>
                  </a:defRPr>
                </a:pPr>
                <a:r>
                  <a:rPr lang="en-AU" sz="1200" cap="none" baseline="0"/>
                  <a:t>Energy Use (kWh/m3)</a:t>
                </a:r>
              </a:p>
            </c:rich>
          </c:tx>
          <c:layout>
            <c:manualLayout>
              <c:xMode val="edge"/>
              <c:yMode val="edge"/>
              <c:x val="2.0586727126444111E-2"/>
              <c:y val="0.298184015207706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cap="none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Calibri (Body)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25000"/>
                <a:lumOff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 (Body)"/>
                <a:ea typeface="+mn-ea"/>
                <a:cs typeface="+mn-cs"/>
              </a:defRPr>
            </a:pPr>
            <a:endParaRPr lang="en-US"/>
          </a:p>
        </c:txPr>
        <c:crossAx val="1094084432"/>
        <c:crosses val="autoZero"/>
        <c:crossBetween val="midCat"/>
        <c:majorUnit val="0.2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ayout>
        <c:manualLayout>
          <c:xMode val="edge"/>
          <c:yMode val="edge"/>
          <c:x val="0.19985524450926051"/>
          <c:y val="0.12697186982901268"/>
          <c:w val="0.36011075767260836"/>
          <c:h val="6.20522820747792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alibri (Body)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latin typeface="Calibri (Body)"/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>
        <a:solidFill>
          <a:schemeClr val="tx1">
            <a:lumMod val="15000"/>
            <a:lumOff val="85000"/>
          </a:schemeClr>
        </a:solidFill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>
            <a:alpha val="6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38100">
        <a:solidFill>
          <a:schemeClr val="phClr">
            <a:alpha val="60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>
        <a:solidFill>
          <a:schemeClr val="tx1">
            <a:lumMod val="15000"/>
            <a:lumOff val="85000"/>
          </a:schemeClr>
        </a:solidFill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>
        <a:solidFill>
          <a:schemeClr val="tx1">
            <a:lumMod val="25000"/>
            <a:lumOff val="75000"/>
          </a:schemeClr>
        </a:solidFill>
      </a:ln>
    </cs:spPr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0.3022</cdr:x>
      <cdr:y>0.8485</cdr:y>
    </cdr:from>
    <cdr:to>
      <cdr:x>0.84373</cdr:x>
      <cdr:y>0.85176</cdr:y>
    </cdr:to>
    <cdr:cxnSp macro="">
      <cdr:nvCxnSpPr>
        <cdr:cNvPr id="2" name="Straight Arrow Connector 1">
          <a:extLst xmlns:a="http://schemas.openxmlformats.org/drawingml/2006/main">
            <a:ext uri="{FF2B5EF4-FFF2-40B4-BE49-F238E27FC236}">
              <a16:creationId xmlns:a16="http://schemas.microsoft.com/office/drawing/2014/main" id="{B51816A8-15DD-6F2E-83C8-4E25DBA6BC15}"/>
            </a:ext>
          </a:extLst>
        </cdr:cNvPr>
        <cdr:cNvCxnSpPr/>
      </cdr:nvCxnSpPr>
      <cdr:spPr>
        <a:xfrm xmlns:a="http://schemas.openxmlformats.org/drawingml/2006/main" flipV="1">
          <a:off x="1118577" y="2801223"/>
          <a:ext cx="2004402" cy="10733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headEnd type="none"/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0.1939</cdr:x>
      <cdr:y>0.52919</cdr:y>
    </cdr:from>
    <cdr:to>
      <cdr:x>0.95561</cdr:x>
      <cdr:y>0.66708</cdr:y>
    </cdr:to>
    <cdr:sp macro="" textlink="">
      <cdr:nvSpPr>
        <cdr:cNvPr id="5" name="Rectangle 4">
          <a:extLst xmlns:a="http://schemas.openxmlformats.org/drawingml/2006/main">
            <a:ext uri="{FF2B5EF4-FFF2-40B4-BE49-F238E27FC236}">
              <a16:creationId xmlns:a16="http://schemas.microsoft.com/office/drawing/2014/main" id="{9B31F03A-F740-7959-D002-3AE7129D9BDE}"/>
            </a:ext>
          </a:extLst>
        </cdr:cNvPr>
        <cdr:cNvSpPr/>
      </cdr:nvSpPr>
      <cdr:spPr>
        <a:xfrm xmlns:a="http://schemas.openxmlformats.org/drawingml/2006/main">
          <a:off x="717578" y="1827702"/>
          <a:ext cx="2818921" cy="476240"/>
        </a:xfrm>
        <a:prstGeom xmlns:a="http://schemas.openxmlformats.org/drawingml/2006/main" prst="rect">
          <a:avLst/>
        </a:prstGeom>
        <a:solidFill xmlns:a="http://schemas.openxmlformats.org/drawingml/2006/main">
          <a:srgbClr val="FF0000">
            <a:alpha val="20000"/>
          </a:srgb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/>
            <a:t> </a:t>
          </a:r>
        </a:p>
      </cdr:txBody>
    </cdr:sp>
  </cdr:relSizeAnchor>
  <cdr:relSizeAnchor xmlns:cdr="http://schemas.openxmlformats.org/drawingml/2006/chartDrawing">
    <cdr:from>
      <cdr:x>0.6176</cdr:x>
      <cdr:y>0.14065</cdr:y>
    </cdr:from>
    <cdr:to>
      <cdr:x>0.91096</cdr:x>
      <cdr:y>0.1765</cdr:y>
    </cdr:to>
    <cdr:sp macro="" textlink="">
      <cdr:nvSpPr>
        <cdr:cNvPr id="6" name="Rectangle 5">
          <a:extLst xmlns:a="http://schemas.openxmlformats.org/drawingml/2006/main">
            <a:ext uri="{FF2B5EF4-FFF2-40B4-BE49-F238E27FC236}">
              <a16:creationId xmlns:a16="http://schemas.microsoft.com/office/drawing/2014/main" id="{B3408520-78EC-CF2A-445A-7A959BB960B3}"/>
            </a:ext>
          </a:extLst>
        </cdr:cNvPr>
        <cdr:cNvSpPr/>
      </cdr:nvSpPr>
      <cdr:spPr>
        <a:xfrm xmlns:a="http://schemas.openxmlformats.org/drawingml/2006/main">
          <a:off x="2286000" y="485775"/>
          <a:ext cx="1085850" cy="1238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lIns="0" tIns="0" rIns="0" bIns="0"/>
        <a:lstStyle xmlns:a="http://schemas.openxmlformats.org/drawingml/2006/main"/>
        <a:p xmlns:a="http://schemas.openxmlformats.org/drawingml/2006/main">
          <a:r>
            <a:rPr lang="en-US" sz="900">
              <a:solidFill>
                <a:sysClr val="windowText" lastClr="000000"/>
              </a:solidFill>
            </a:rPr>
            <a:t>CAS Energy Demand</a:t>
          </a:r>
        </a:p>
      </cdr:txBody>
    </cdr:sp>
  </cdr:relSizeAnchor>
  <cdr:relSizeAnchor xmlns:cdr="http://schemas.openxmlformats.org/drawingml/2006/chartDrawing">
    <cdr:from>
      <cdr:x>0.55155</cdr:x>
      <cdr:y>0.13881</cdr:y>
    </cdr:from>
    <cdr:to>
      <cdr:x>0.60988</cdr:x>
      <cdr:y>0.17926</cdr:y>
    </cdr:to>
    <cdr:sp macro="" textlink="">
      <cdr:nvSpPr>
        <cdr:cNvPr id="7" name="Rectangle 6">
          <a:extLst xmlns:a="http://schemas.openxmlformats.org/drawingml/2006/main">
            <a:ext uri="{FF2B5EF4-FFF2-40B4-BE49-F238E27FC236}">
              <a16:creationId xmlns:a16="http://schemas.microsoft.com/office/drawing/2014/main" id="{B6195455-88D9-14B6-3993-B804C9DF0616}"/>
            </a:ext>
          </a:extLst>
        </cdr:cNvPr>
        <cdr:cNvSpPr/>
      </cdr:nvSpPr>
      <cdr:spPr>
        <a:xfrm xmlns:a="http://schemas.openxmlformats.org/drawingml/2006/main">
          <a:off x="2041525" y="479426"/>
          <a:ext cx="215900" cy="139700"/>
        </a:xfrm>
        <a:prstGeom xmlns:a="http://schemas.openxmlformats.org/drawingml/2006/main" prst="rect">
          <a:avLst/>
        </a:prstGeom>
        <a:solidFill xmlns:a="http://schemas.openxmlformats.org/drawingml/2006/main">
          <a:srgbClr val="FF0000">
            <a:alpha val="20000"/>
          </a:srgb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Che22</b:Tag>
    <b:SourceType>JournalArticle</b:SourceType>
    <b:Guid>{07C59DCB-7AFC-4BD1-A6CF-8544F7F239D1}</b:Guid>
    <b:Title>Smart energy savings for aeration control in wastewater treatment</b:Title>
    <b:Year>2022</b:Year>
    <b:Pages>1711-1721</b:Pages>
    <b:Author>
      <b:Author>
        <b:NameList>
          <b:Person>
            <b:Last>Chen</b:Last>
            <b:First>Yingsong</b:First>
          </b:Person>
          <b:Person>
            <b:Last>Zhang</b:Last>
            <b:First>Huijie</b:First>
          </b:Person>
          <b:Person>
            <b:Last>Yin</b:Last>
            <b:First>Yufang</b:First>
          </b:Person>
          <b:Person>
            <b:Last>Zeng</b:Last>
            <b:First>Feng</b:First>
          </b:Person>
          <b:Person>
            <b:Last>Cui</b:Last>
            <b:First>Zhouping</b:First>
          </b:Person>
        </b:NameList>
      </b:Author>
    </b:Author>
    <b:JournalName>Energy Reports</b:JournalName>
    <b:RefOrder>3</b:RefOrder>
  </b:Source>
  <b:Source>
    <b:Tag>Sie08</b:Tag>
    <b:SourceType>ArticleInAPeriodical</b:SourceType>
    <b:Guid>{02449015-5AB6-42F7-88CA-F208C8776A8B}</b:Guid>
    <b:Title>Siemens' pulsed-air MBR reduces operating costs</b:Title>
    <b:JournalName>Membrane Technology</b:JournalName>
    <b:Year>2008</b:Year>
    <b:Pages>3</b:Pages>
    <b:PeriodicalTitle>Membrane Technology</b:PeriodicalTitle>
    <b:Month>November</b:Month>
    <b:RefOrder>5</b:RefOrder>
  </b:Source>
  <b:Source>
    <b:Tag>Eki17</b:Tag>
    <b:SourceType>Book</b:SourceType>
    <b:Guid>{9E1C801C-7085-4341-BA0E-6190DC56F41F}</b:Guid>
    <b:Author>
      <b:Author>
        <b:NameList>
          <b:Person>
            <b:Last>Ekici</b:Last>
            <b:First>Kerim</b:First>
          </b:Person>
        </b:NameList>
      </b:Author>
    </b:Author>
    <b:Title>Energy Saving Preventions for Aeration Process in Wastewater Treatment Plant</b:Title>
    <b:Year>2017</b:Year>
    <b:Month>June</b:Month>
    <b:Day>17</b:Day>
    <b:RefOrder>2</b:RefOrder>
  </b:Source>
  <b:Source>
    <b:Tag>Miy18</b:Tag>
    <b:SourceType>JournalArticle</b:SourceType>
    <b:Guid>{DA2D6B41-4B9A-45F1-929A-77450175E438}</b:Guid>
    <b:Author>
      <b:Author>
        <b:NameList>
          <b:Person>
            <b:Last>Miyoshi</b:Last>
            <b:First>Taro</b:First>
          </b:Person>
          <b:Person>
            <b:Last>Nguyen</b:Last>
            <b:First>Thnah</b:First>
            <b:Middle>Phong</b:Middle>
          </b:Person>
          <b:Person>
            <b:Last>Tsumuraya</b:Last>
            <b:First>Terumi</b:First>
          </b:Person>
          <b:Person>
            <b:Last>Tanaka</b:Last>
            <b:First>Hiromi</b:First>
          </b:Person>
          <b:Person>
            <b:Last>Morita</b:Last>
            <b:First>Toru</b:First>
          </b:Person>
        </b:NameList>
      </b:Author>
    </b:Author>
    <b:Title>Energy reduction of a submerged membrane bioreactor using a polytetrafluoroethylene (PTFE) hollow-fiber membrane</b:Title>
    <b:Year>2018</b:Year>
    <b:JournalName>Frontiers of environmental science &amp; engineering</b:JournalName>
    <b:Volume>12</b:Volume>
    <b:Issue>3</b:Issue>
    <b:RefOrder>4</b:RefOrder>
  </b:Source>
  <b:Source>
    <b:Tag>Wal21</b:Tag>
    <b:SourceType>JournalArticle</b:SourceType>
    <b:Guid>{FB584118-FC44-46BC-824A-08256CEC97B0}</b:Guid>
    <b:Title>Pitfalls in international benchmarking of energy intensity across wastewater treatment utilities</b:Title>
    <b:Year>2021</b:Year>
    <b:Author>
      <b:Author>
        <b:NameList>
          <b:Person>
            <b:Last>Walker</b:Last>
            <b:First>N</b:First>
          </b:Person>
          <b:Person>
            <b:Last>Williams</b:Last>
            <b:First>P</b:First>
          </b:Person>
          <b:Person>
            <b:Last>Styles</b:Last>
            <b:First>D</b:First>
          </b:Person>
        </b:NameList>
      </b:Author>
    </b:Author>
    <b:JournalName>Journal of Environmental Management</b:JournalName>
    <b:Volume>300</b:Volume>
    <b:Issue>15</b:Issue>
    <b:RefOrder>1</b:RefOrder>
  </b:Source>
</b:Sources>
</file>

<file path=customXml/itemProps1.xml><?xml version="1.0" encoding="utf-8"?>
<ds:datastoreItem xmlns:ds="http://schemas.openxmlformats.org/officeDocument/2006/customXml" ds:itemID="{6104DA12-E831-43C6-901C-9812D51B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Zhang</dc:creator>
  <cp:keywords/>
  <dc:description/>
  <cp:lastModifiedBy>Soo Leong</cp:lastModifiedBy>
  <cp:revision>2</cp:revision>
  <dcterms:created xsi:type="dcterms:W3CDTF">2022-11-09T01:52:00Z</dcterms:created>
  <dcterms:modified xsi:type="dcterms:W3CDTF">2022-11-09T01:52:00Z</dcterms:modified>
</cp:coreProperties>
</file>