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E6A0" w14:textId="44AAFA9F" w:rsidR="00264E9B" w:rsidRPr="004A1B4D" w:rsidRDefault="00621378" w:rsidP="00BF777E">
      <w:pPr>
        <w:pStyle w:val="Titelzeile"/>
        <w:spacing w:after="120"/>
        <w:rPr>
          <w:rFonts w:ascii="Arial" w:hAnsi="Arial"/>
          <w:lang w:val="en-US"/>
        </w:rPr>
      </w:pPr>
      <w:bookmarkStart w:id="0" w:name="_GoBack"/>
      <w:bookmarkEnd w:id="0"/>
      <w:r>
        <w:rPr>
          <w:rFonts w:ascii="Arial" w:hAnsi="Arial"/>
          <w:lang w:val="en-US"/>
        </w:rPr>
        <w:t>Reversible Oxygen Sorption in MOFs</w:t>
      </w:r>
    </w:p>
    <w:p w14:paraId="040819CA" w14:textId="1A9FBD77" w:rsidR="00621378" w:rsidRDefault="00621378" w:rsidP="00621378">
      <w:pPr>
        <w:jc w:val="center"/>
        <w:rPr>
          <w:rFonts w:cs="Arial"/>
        </w:rPr>
      </w:pPr>
      <w:r w:rsidRPr="0063620E">
        <w:rPr>
          <w:rFonts w:cs="Arial"/>
          <w:b/>
          <w:i/>
          <w:u w:val="single"/>
        </w:rPr>
        <w:t>Matthew R. Hill</w:t>
      </w:r>
      <w:r w:rsidRPr="0063620E">
        <w:rPr>
          <w:rFonts w:cs="Arial"/>
          <w:b/>
          <w:i/>
          <w:u w:val="single"/>
          <w:vertAlign w:val="superscript"/>
        </w:rPr>
        <w:t>1,2</w:t>
      </w:r>
      <w:r w:rsidRPr="0063620E">
        <w:rPr>
          <w:rFonts w:cs="Arial"/>
          <w:i/>
        </w:rPr>
        <w:t xml:space="preserve">, </w:t>
      </w:r>
      <w:r>
        <w:rPr>
          <w:rFonts w:cs="Arial"/>
          <w:i/>
        </w:rPr>
        <w:t>Leena Melag</w:t>
      </w:r>
      <w:r w:rsidRPr="00621378">
        <w:rPr>
          <w:rFonts w:cs="Arial"/>
          <w:i/>
          <w:vertAlign w:val="superscript"/>
        </w:rPr>
        <w:t>2</w:t>
      </w:r>
      <w:r>
        <w:rPr>
          <w:rFonts w:cs="Arial"/>
          <w:i/>
        </w:rPr>
        <w:t>, Ashley Sutton</w:t>
      </w:r>
      <w:r w:rsidRPr="00621378">
        <w:rPr>
          <w:rFonts w:cs="Arial"/>
          <w:i/>
          <w:vertAlign w:val="superscript"/>
        </w:rPr>
        <w:t>1</w:t>
      </w:r>
      <w:r>
        <w:rPr>
          <w:rFonts w:cs="Arial"/>
          <w:i/>
        </w:rPr>
        <w:t>, Kiyonori Suzuki</w:t>
      </w:r>
      <w:r w:rsidRPr="00621378">
        <w:rPr>
          <w:rFonts w:cs="Arial"/>
          <w:i/>
          <w:vertAlign w:val="superscript"/>
        </w:rPr>
        <w:t>3</w:t>
      </w:r>
      <w:r>
        <w:rPr>
          <w:rFonts w:cs="Arial"/>
          <w:i/>
        </w:rPr>
        <w:t xml:space="preserve"> and M. Munir Sadiq</w:t>
      </w:r>
      <w:r w:rsidRPr="00621378">
        <w:rPr>
          <w:rFonts w:cs="Arial"/>
          <w:i/>
          <w:vertAlign w:val="superscript"/>
        </w:rPr>
        <w:t>2</w:t>
      </w:r>
    </w:p>
    <w:p w14:paraId="0C359842" w14:textId="77777777" w:rsidR="00621378" w:rsidRPr="0063620E" w:rsidRDefault="00621378" w:rsidP="0062137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i/>
          <w:sz w:val="24"/>
        </w:rPr>
      </w:pPr>
      <w:r w:rsidRPr="0063620E">
        <w:rPr>
          <w:rFonts w:ascii="Arial" w:hAnsi="Arial" w:cs="Arial"/>
          <w:i/>
          <w:sz w:val="24"/>
        </w:rPr>
        <w:t>CSIRO, Victoria, Australia</w:t>
      </w:r>
    </w:p>
    <w:p w14:paraId="7F1EC7CE" w14:textId="7E40DB9C" w:rsidR="00621378" w:rsidRPr="0063620E" w:rsidRDefault="00621378" w:rsidP="0062137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i/>
          <w:sz w:val="24"/>
        </w:rPr>
      </w:pPr>
      <w:r w:rsidRPr="0063620E">
        <w:rPr>
          <w:rFonts w:ascii="Arial" w:hAnsi="Arial" w:cs="Arial"/>
          <w:i/>
          <w:sz w:val="24"/>
        </w:rPr>
        <w:t xml:space="preserve">Monash University, Department of Chemical </w:t>
      </w:r>
      <w:r w:rsidR="00F250D7">
        <w:rPr>
          <w:rFonts w:ascii="Arial" w:hAnsi="Arial" w:cs="Arial"/>
          <w:i/>
          <w:sz w:val="24"/>
        </w:rPr>
        <w:t xml:space="preserve">and Biological </w:t>
      </w:r>
      <w:r w:rsidRPr="0063620E">
        <w:rPr>
          <w:rFonts w:ascii="Arial" w:hAnsi="Arial" w:cs="Arial"/>
          <w:i/>
          <w:sz w:val="24"/>
        </w:rPr>
        <w:t>Engineering, Victoria, Australia</w:t>
      </w:r>
    </w:p>
    <w:p w14:paraId="5AE43401" w14:textId="77777777" w:rsidR="00621378" w:rsidRPr="0063620E" w:rsidRDefault="00621378" w:rsidP="0062137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 w:rsidRPr="0063620E">
        <w:rPr>
          <w:rFonts w:ascii="Arial" w:hAnsi="Arial" w:cs="Arial"/>
          <w:i/>
          <w:sz w:val="24"/>
        </w:rPr>
        <w:t>Monash University, Department of Mechanical Engineering, Victoria, Australia</w:t>
      </w:r>
    </w:p>
    <w:p w14:paraId="7FABE21A" w14:textId="77777777" w:rsidR="00621378" w:rsidRDefault="00032F5C" w:rsidP="00621378">
      <w:pPr>
        <w:ind w:left="360"/>
        <w:rPr>
          <w:rFonts w:cs="Arial"/>
        </w:rPr>
      </w:pPr>
      <w:hyperlink r:id="rId7" w:history="1">
        <w:r w:rsidR="00621378" w:rsidRPr="0063620E">
          <w:rPr>
            <w:rStyle w:val="Hyperlink"/>
            <w:rFonts w:cs="Arial"/>
          </w:rPr>
          <w:t>*matthew.hill@csiro.au</w:t>
        </w:r>
      </w:hyperlink>
      <w:r w:rsidR="00621378" w:rsidRPr="0063620E">
        <w:rPr>
          <w:rFonts w:cs="Arial"/>
        </w:rPr>
        <w:t xml:space="preserve">, </w:t>
      </w:r>
      <w:hyperlink r:id="rId8" w:history="1">
        <w:r w:rsidR="00621378" w:rsidRPr="0063620E">
          <w:rPr>
            <w:rStyle w:val="Hyperlink"/>
            <w:rFonts w:cs="Arial"/>
          </w:rPr>
          <w:t>matthew.hill@monash.edu</w:t>
        </w:r>
      </w:hyperlink>
      <w:r w:rsidR="00621378" w:rsidRPr="0063620E">
        <w:rPr>
          <w:rFonts w:cs="Arial"/>
        </w:rPr>
        <w:t xml:space="preserve">, </w:t>
      </w:r>
    </w:p>
    <w:p w14:paraId="000DF430" w14:textId="77777777" w:rsidR="00621378" w:rsidRPr="0063620E" w:rsidRDefault="00032F5C" w:rsidP="00621378">
      <w:pPr>
        <w:ind w:left="360"/>
        <w:rPr>
          <w:rFonts w:cs="Arial"/>
        </w:rPr>
      </w:pPr>
      <w:hyperlink r:id="rId9" w:history="1">
        <w:r w:rsidR="00621378" w:rsidRPr="00834025">
          <w:rPr>
            <w:rStyle w:val="Hyperlink"/>
            <w:rFonts w:cs="Arial"/>
          </w:rPr>
          <w:t>http://www.matthewrhill.com.au</w:t>
        </w:r>
      </w:hyperlink>
    </w:p>
    <w:p w14:paraId="2F47CF22" w14:textId="77777777" w:rsidR="00621378" w:rsidRPr="00621378" w:rsidRDefault="00D344B5" w:rsidP="00621378">
      <w:pPr>
        <w:pStyle w:val="Subtitle"/>
        <w:jc w:val="both"/>
        <w:rPr>
          <w:rFonts w:ascii="Arial" w:hAnsi="Arial"/>
        </w:rPr>
      </w:pPr>
      <w:r w:rsidRPr="00621378">
        <w:rPr>
          <w:rFonts w:ascii="Arial" w:hAnsi="Arial"/>
          <w:lang w:val="en-US"/>
        </w:rPr>
        <w:t xml:space="preserve">Sub topic </w:t>
      </w:r>
      <w:r w:rsidR="00132078" w:rsidRPr="00621378">
        <w:rPr>
          <w:rFonts w:ascii="Arial" w:hAnsi="Arial"/>
          <w:lang w:val="en-US"/>
        </w:rPr>
        <w:t xml:space="preserve">- </w:t>
      </w:r>
      <w:r w:rsidR="00621378" w:rsidRPr="00621378">
        <w:rPr>
          <w:rFonts w:ascii="Arial" w:hAnsi="Arial"/>
        </w:rPr>
        <w:t>Health-care and Food</w:t>
      </w:r>
    </w:p>
    <w:p w14:paraId="0142AA5B" w14:textId="23F9F654" w:rsidR="00264E9B" w:rsidRPr="001C6D6C" w:rsidRDefault="00B44ACD">
      <w:pPr>
        <w:pStyle w:val="Haupttext"/>
        <w:rPr>
          <w:rFonts w:ascii="Arial" w:hAnsi="Arial" w:cs="Arial"/>
          <w:lang w:val="en-US"/>
        </w:rPr>
      </w:pPr>
      <w:r w:rsidRPr="001C6D6C">
        <w:rPr>
          <w:rFonts w:ascii="Arial" w:hAnsi="Arial" w:cs="Arial"/>
          <w:noProof/>
          <w:lang w:val="en-AU" w:eastAsia="zh-CN"/>
        </w:rPr>
        <w:drawing>
          <wp:anchor distT="0" distB="0" distL="114300" distR="114300" simplePos="0" relativeHeight="251655680" behindDoc="0" locked="0" layoutInCell="1" allowOverlap="1" wp14:anchorId="7E6E07CF" wp14:editId="5E8F913B">
            <wp:simplePos x="0" y="0"/>
            <wp:positionH relativeFrom="column">
              <wp:posOffset>2880995</wp:posOffset>
            </wp:positionH>
            <wp:positionV relativeFrom="paragraph">
              <wp:posOffset>1909445</wp:posOffset>
            </wp:positionV>
            <wp:extent cx="2886075" cy="2000250"/>
            <wp:effectExtent l="19050" t="19050" r="9525" b="0"/>
            <wp:wrapSquare wrapText="bothSides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086F43EC-FB23-4D1E-ABB1-87C114F8B27A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086F43EC-FB23-4D1E-ABB1-87C114F8B27A}"/>
                        </a:ext>
                      </a:extLst>
                    </pic:cNvPr>
                    <pic:cNvPicPr preferRelativeResize="0">
                      <a:picLocks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0002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378" w:rsidRPr="001C6D6C">
        <w:rPr>
          <w:rFonts w:ascii="Arial" w:hAnsi="Arial" w:cs="Arial"/>
        </w:rPr>
        <w:t xml:space="preserve">Oxygen is a critically important gas for medical and industrial settings. Much of today's global oxygen supply is </w:t>
      </w:r>
      <w:r w:rsidR="00621378" w:rsidRPr="001C6D6C">
        <w:rPr>
          <w:rFonts w:ascii="Arial" w:hAnsi="Arial" w:cs="Arial"/>
          <w:i/>
          <w:iCs/>
        </w:rPr>
        <w:t>via</w:t>
      </w:r>
      <w:r w:rsidR="00621378" w:rsidRPr="001C6D6C">
        <w:rPr>
          <w:rFonts w:ascii="Arial" w:hAnsi="Arial" w:cs="Arial"/>
        </w:rPr>
        <w:t xml:space="preserve"> inefficient technologies such as cryogenic distillation, membranes or zeolites. M</w:t>
      </w:r>
      <w:r w:rsidR="00F7695D">
        <w:rPr>
          <w:rFonts w:ascii="Arial" w:hAnsi="Arial" w:cs="Arial"/>
        </w:rPr>
        <w:t>OFs</w:t>
      </w:r>
      <w:r w:rsidR="00621378" w:rsidRPr="001C6D6C">
        <w:rPr>
          <w:rFonts w:ascii="Arial" w:hAnsi="Arial" w:cs="Arial"/>
        </w:rPr>
        <w:t xml:space="preserve"> promise a superior alternative for oxygen separation, as their fundamental chemistry can in principle be tailored for reversible and selective oxygen capture. In this </w:t>
      </w:r>
      <w:r w:rsidR="00F7695D">
        <w:rPr>
          <w:rFonts w:ascii="Arial" w:hAnsi="Arial" w:cs="Arial"/>
        </w:rPr>
        <w:t xml:space="preserve">presentation, we report the discovery of a MOFs family that can reversibly capture and release oxygen at room </w:t>
      </w:r>
      <w:r w:rsidR="002F5763">
        <w:rPr>
          <w:rFonts w:ascii="Arial" w:hAnsi="Arial" w:cs="Arial"/>
        </w:rPr>
        <w:t>temperature</w:t>
      </w:r>
      <w:r w:rsidR="00F7695D">
        <w:rPr>
          <w:rFonts w:ascii="Arial" w:hAnsi="Arial" w:cs="Arial"/>
        </w:rPr>
        <w:t xml:space="preserve">, for the first time.  </w:t>
      </w:r>
    </w:p>
    <w:p w14:paraId="3B717ED7" w14:textId="74B37770" w:rsidR="00A7530A" w:rsidRDefault="00B44ACD" w:rsidP="001C6D6C">
      <w:pPr>
        <w:pStyle w:val="Haupttext"/>
        <w:jc w:val="center"/>
        <w:rPr>
          <w:rFonts w:ascii="Arial" w:hAnsi="Arial" w:cs="Arial"/>
          <w:b/>
          <w:bCs/>
          <w:lang w:val="en-US"/>
        </w:rPr>
      </w:pPr>
      <w:r w:rsidRPr="001C6D6C">
        <w:rPr>
          <w:rFonts w:ascii="Arial" w:hAnsi="Arial" w:cs="Arial"/>
          <w:noProof/>
          <w:lang w:val="en-AU" w:eastAsia="zh-CN"/>
        </w:rPr>
        <w:drawing>
          <wp:anchor distT="0" distB="0" distL="114300" distR="114300" simplePos="0" relativeHeight="251829760" behindDoc="0" locked="0" layoutInCell="1" allowOverlap="1" wp14:anchorId="39F98184" wp14:editId="0C6486D7">
            <wp:simplePos x="0" y="0"/>
            <wp:positionH relativeFrom="column">
              <wp:posOffset>23495</wp:posOffset>
            </wp:positionH>
            <wp:positionV relativeFrom="paragraph">
              <wp:posOffset>79375</wp:posOffset>
            </wp:positionV>
            <wp:extent cx="2628900" cy="1971675"/>
            <wp:effectExtent l="38100" t="38100" r="19050" b="28575"/>
            <wp:wrapSquare wrapText="bothSides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3F0D6722-20E7-442C-B527-D3294FEC87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3F0D6722-20E7-442C-B527-D3294FEC87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35830" w14:textId="4B595A28" w:rsidR="00C86616" w:rsidRDefault="001C6D6C" w:rsidP="001C6D6C">
      <w:pPr>
        <w:pStyle w:val="Haupttext"/>
        <w:jc w:val="center"/>
        <w:rPr>
          <w:rFonts w:ascii="Arial" w:hAnsi="Arial" w:cs="Arial"/>
          <w:b/>
          <w:bCs/>
          <w:lang w:val="en-US"/>
        </w:rPr>
      </w:pPr>
      <w:r w:rsidRPr="001C6D6C">
        <w:rPr>
          <w:rFonts w:ascii="Arial" w:hAnsi="Arial" w:cs="Arial"/>
          <w:b/>
          <w:bCs/>
          <w:lang w:val="en-US"/>
        </w:rPr>
        <w:t xml:space="preserve">Figure 1. An approach to controllable redox active metal placement within MOFs has lead to </w:t>
      </w:r>
      <w:r w:rsidR="00A7530A" w:rsidRPr="001C6D6C">
        <w:rPr>
          <w:rFonts w:ascii="Arial" w:hAnsi="Arial" w:cs="Arial"/>
          <w:b/>
          <w:bCs/>
          <w:lang w:val="en-US"/>
        </w:rPr>
        <w:t>reversible</w:t>
      </w:r>
      <w:r w:rsidRPr="001C6D6C">
        <w:rPr>
          <w:rFonts w:ascii="Arial" w:hAnsi="Arial" w:cs="Arial"/>
          <w:b/>
          <w:bCs/>
          <w:lang w:val="en-US"/>
        </w:rPr>
        <w:t xml:space="preserve"> oxygen capture at room temperature.</w:t>
      </w:r>
    </w:p>
    <w:p w14:paraId="34748C3B" w14:textId="77777777" w:rsidR="00A7530A" w:rsidRPr="001C6D6C" w:rsidRDefault="00A7530A" w:rsidP="001C6D6C">
      <w:pPr>
        <w:pStyle w:val="Haupttext"/>
        <w:jc w:val="center"/>
        <w:rPr>
          <w:rFonts w:ascii="Arial" w:hAnsi="Arial" w:cs="Arial"/>
          <w:b/>
          <w:bCs/>
          <w:lang w:val="en-US"/>
        </w:rPr>
      </w:pPr>
    </w:p>
    <w:p w14:paraId="44497892" w14:textId="7B837D7C" w:rsidR="002720FE" w:rsidRDefault="002720FE" w:rsidP="005F51E9">
      <w:pPr>
        <w:jc w:val="both"/>
      </w:pPr>
      <w:r>
        <w:t>The key problem has been that the only way to get significant adsorption of oxygen at room temperature is to utilise a redox active site in the material. The interaction is often too strong, which means you need very high temperatures to regenerate the material, which the</w:t>
      </w:r>
      <w:r w:rsidR="005F51E9">
        <w:t>n</w:t>
      </w:r>
      <w:r>
        <w:t xml:space="preserve"> typically falls apart after a couple of cycles</w:t>
      </w:r>
      <w:r w:rsidR="005F51E9">
        <w:t xml:space="preserve">.  </w:t>
      </w:r>
      <w:r>
        <w:t>Our discovery</w:t>
      </w:r>
      <w:r w:rsidR="002F5763" w:rsidRPr="002F5763">
        <w:rPr>
          <w:vertAlign w:val="superscript"/>
        </w:rPr>
        <w:t>1</w:t>
      </w:r>
      <w:r>
        <w:t xml:space="preserve"> has been to controllably space out the redox active sites with other metals, and more recently we’ve managed to use non-toxic metals to achieve this.  Mossbauer and XPS analysis also </w:t>
      </w:r>
      <w:r w:rsidR="0055389E">
        <w:lastRenderedPageBreak/>
        <w:t xml:space="preserve">indicate that the </w:t>
      </w:r>
      <w:r>
        <w:t xml:space="preserve">spacing seems to affect the redox states of the active metal, weakening the redox interaction strength as well, and improving the stability for the reasons listed above. </w:t>
      </w:r>
    </w:p>
    <w:p w14:paraId="758E1C21" w14:textId="540AB3C5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7BA378AA" w14:textId="1F2F03BF" w:rsidR="00264E9B" w:rsidRPr="001C6D6C" w:rsidRDefault="004A3533">
      <w:pPr>
        <w:pStyle w:val="Haupttext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t>This presentation will highlight the latest results</w:t>
      </w:r>
      <w:r w:rsidR="00BA0F1F">
        <w:rPr>
          <w:rFonts w:ascii="Arial" w:hAnsi="Arial" w:cs="Arial"/>
          <w:szCs w:val="24"/>
        </w:rPr>
        <w:t xml:space="preserve"> with detailed analysis of the mechanism and overall performance metrics, with a view to predicting the feasibility of these materials being applied to </w:t>
      </w:r>
      <w:r w:rsidR="009F59D3">
        <w:rPr>
          <w:rFonts w:ascii="Arial" w:hAnsi="Arial" w:cs="Arial"/>
          <w:szCs w:val="24"/>
        </w:rPr>
        <w:t xml:space="preserve">personal oxygen concentrator devices.  </w:t>
      </w:r>
    </w:p>
    <w:p w14:paraId="4959048C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027C77CA" w14:textId="27407763" w:rsidR="009F59D3" w:rsidRPr="0011505F" w:rsidRDefault="009F59D3">
      <w:pPr>
        <w:pStyle w:val="Haupttext"/>
        <w:rPr>
          <w:rFonts w:ascii="Arial" w:hAnsi="Arial" w:cs="Arial"/>
          <w:b/>
          <w:bCs/>
          <w:lang w:val="en-US"/>
        </w:rPr>
      </w:pPr>
      <w:r w:rsidRPr="0011505F">
        <w:rPr>
          <w:rFonts w:ascii="Arial" w:hAnsi="Arial" w:cs="Arial"/>
          <w:b/>
          <w:bCs/>
          <w:lang w:val="en-US"/>
        </w:rPr>
        <w:t xml:space="preserve">Bio: </w:t>
      </w:r>
      <w:r w:rsidR="00070169" w:rsidRPr="0011505F">
        <w:rPr>
          <w:rFonts w:ascii="Arial" w:hAnsi="Arial" w:cs="Arial"/>
          <w:b/>
          <w:bCs/>
          <w:lang w:val="en-US"/>
        </w:rPr>
        <w:t>Professor Matthew Hill</w:t>
      </w:r>
    </w:p>
    <w:p w14:paraId="39D0F964" w14:textId="0E891DA4" w:rsidR="00070169" w:rsidRDefault="00070169" w:rsidP="00316BC4">
      <w:pPr>
        <w:pStyle w:val="NormalWeb"/>
        <w:shd w:val="clear" w:color="auto" w:fill="FFFFFF"/>
        <w:spacing w:before="240" w:beforeAutospacing="0" w:after="0" w:afterAutospacing="0" w:line="360" w:lineRule="auto"/>
        <w:jc w:val="both"/>
      </w:pPr>
      <w:r>
        <w:rPr>
          <w:rFonts w:ascii="Arial" w:hAnsi="Arial" w:cs="Arial"/>
          <w:color w:val="000000"/>
        </w:rPr>
        <w:t xml:space="preserve">Matthew is a technical leader in the field of clean and renewable energy research with 15 </w:t>
      </w:r>
      <w:r w:rsidR="00206238">
        <w:rPr>
          <w:rFonts w:ascii="Arial" w:hAnsi="Arial" w:cs="Arial"/>
          <w:color w:val="000000"/>
        </w:rPr>
        <w:t>years’ experience</w:t>
      </w:r>
      <w:r>
        <w:rPr>
          <w:rFonts w:ascii="Arial" w:hAnsi="Arial" w:cs="Arial"/>
          <w:color w:val="000000"/>
        </w:rPr>
        <w:t xml:space="preserve"> </w:t>
      </w:r>
      <w:r w:rsidR="00B44AC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delivering technical solutions to government and industry across 52 projects worth $ 38M AUD. </w:t>
      </w:r>
      <w:r w:rsidR="00316BC4">
        <w:rPr>
          <w:rFonts w:ascii="Arial" w:hAnsi="Arial" w:cs="Arial"/>
          <w:color w:val="000000"/>
        </w:rPr>
        <w:t xml:space="preserve">An inorganic chemist by training , he began in the field of MOFs in 2008 with Prof Jeffrey Long in the area of hydrogen storage materials.  </w:t>
      </w:r>
      <w:r>
        <w:rPr>
          <w:rFonts w:ascii="Arial" w:hAnsi="Arial" w:cs="Arial"/>
          <w:color w:val="000000"/>
        </w:rPr>
        <w:t xml:space="preserve">He has over 130 publications, 17 patents and over </w:t>
      </w:r>
      <w:r w:rsidR="00861CB5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000 citations.  </w:t>
      </w:r>
    </w:p>
    <w:p w14:paraId="7C92C08E" w14:textId="3F56195D" w:rsidR="009F59D3" w:rsidRDefault="009F59D3">
      <w:pPr>
        <w:pStyle w:val="Haupttext"/>
        <w:rPr>
          <w:rFonts w:ascii="Arial" w:hAnsi="Arial" w:cs="Arial"/>
          <w:lang w:val="en-US"/>
        </w:rPr>
      </w:pPr>
    </w:p>
    <w:p w14:paraId="6517D329" w14:textId="5E0CA595" w:rsidR="002F5763" w:rsidRDefault="002F5763">
      <w:pPr>
        <w:pStyle w:val="Haupttext"/>
        <w:rPr>
          <w:rFonts w:ascii="Arial" w:hAnsi="Arial" w:cs="Arial"/>
          <w:lang w:val="en-US"/>
        </w:rPr>
      </w:pPr>
    </w:p>
    <w:p w14:paraId="26392F3B" w14:textId="7DF72F68" w:rsidR="002F5763" w:rsidRPr="00D344B5" w:rsidRDefault="002F5763" w:rsidP="002F5763">
      <w:pPr>
        <w:pStyle w:val="Haupttext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M.R. Hill, A. Sutton, L Melag, K Suzuki, M. M. Sadiq, Aus Provisional Patent, 2022.  </w:t>
      </w:r>
    </w:p>
    <w:sectPr w:rsidR="002F5763" w:rsidRPr="00D344B5" w:rsidSect="00264E9B">
      <w:type w:val="continuous"/>
      <w:pgSz w:w="11907" w:h="16840" w:code="9"/>
      <w:pgMar w:top="1418" w:right="1418" w:bottom="1418" w:left="1418" w:header="720" w:footer="720" w:gutter="0"/>
      <w:paperSrc w:first="290" w:other="29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14597" w14:textId="77777777" w:rsidR="00032F5C" w:rsidRDefault="00032F5C" w:rsidP="004A1735">
      <w:pPr>
        <w:spacing w:line="240" w:lineRule="auto"/>
      </w:pPr>
      <w:r>
        <w:separator/>
      </w:r>
    </w:p>
  </w:endnote>
  <w:endnote w:type="continuationSeparator" w:id="0">
    <w:p w14:paraId="2D2F4A55" w14:textId="77777777" w:rsidR="00032F5C" w:rsidRDefault="00032F5C" w:rsidP="004A1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8821D" w14:textId="77777777" w:rsidR="00032F5C" w:rsidRDefault="00032F5C" w:rsidP="004A1735">
      <w:pPr>
        <w:spacing w:line="240" w:lineRule="auto"/>
      </w:pPr>
      <w:r>
        <w:separator/>
      </w:r>
    </w:p>
  </w:footnote>
  <w:footnote w:type="continuationSeparator" w:id="0">
    <w:p w14:paraId="10033255" w14:textId="77777777" w:rsidR="00032F5C" w:rsidRDefault="00032F5C" w:rsidP="004A17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FDA"/>
    <w:multiLevelType w:val="hybridMultilevel"/>
    <w:tmpl w:val="E8FA4C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950DD"/>
    <w:multiLevelType w:val="hybridMultilevel"/>
    <w:tmpl w:val="366679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9B"/>
    <w:rsid w:val="00032F5C"/>
    <w:rsid w:val="00070169"/>
    <w:rsid w:val="000F79FD"/>
    <w:rsid w:val="0011505F"/>
    <w:rsid w:val="00117A35"/>
    <w:rsid w:val="00132078"/>
    <w:rsid w:val="001A5335"/>
    <w:rsid w:val="001C6D6C"/>
    <w:rsid w:val="00206238"/>
    <w:rsid w:val="0025249B"/>
    <w:rsid w:val="00264E9B"/>
    <w:rsid w:val="002720FE"/>
    <w:rsid w:val="002F5763"/>
    <w:rsid w:val="00316BC4"/>
    <w:rsid w:val="00333377"/>
    <w:rsid w:val="004A1B4D"/>
    <w:rsid w:val="004A3533"/>
    <w:rsid w:val="004B232F"/>
    <w:rsid w:val="00517ACC"/>
    <w:rsid w:val="0055389E"/>
    <w:rsid w:val="005F51E9"/>
    <w:rsid w:val="00621378"/>
    <w:rsid w:val="00752E8E"/>
    <w:rsid w:val="00861CB5"/>
    <w:rsid w:val="009F59D3"/>
    <w:rsid w:val="00A7530A"/>
    <w:rsid w:val="00B44ACD"/>
    <w:rsid w:val="00B83C9C"/>
    <w:rsid w:val="00BA0F1F"/>
    <w:rsid w:val="00BF777E"/>
    <w:rsid w:val="00C2486E"/>
    <w:rsid w:val="00C86616"/>
    <w:rsid w:val="00CE547B"/>
    <w:rsid w:val="00D344B5"/>
    <w:rsid w:val="00D72996"/>
    <w:rsid w:val="00D8221C"/>
    <w:rsid w:val="00F250D7"/>
    <w:rsid w:val="00F7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0E199"/>
  <w15:docId w15:val="{EF3A81FD-0C84-43A8-AC43-3909A4B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E9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64E9B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Footer">
    <w:name w:val="footer"/>
    <w:basedOn w:val="Normal"/>
    <w:semiHidden/>
    <w:rsid w:val="00264E9B"/>
    <w:pPr>
      <w:tabs>
        <w:tab w:val="center" w:pos="4536"/>
        <w:tab w:val="right" w:pos="9072"/>
      </w:tabs>
    </w:pPr>
  </w:style>
  <w:style w:type="paragraph" w:customStyle="1" w:styleId="Titelzeile">
    <w:name w:val="Titelzeile"/>
    <w:basedOn w:val="Haupttext"/>
    <w:next w:val="Autoren"/>
    <w:rsid w:val="00264E9B"/>
    <w:pPr>
      <w:jc w:val="center"/>
    </w:pPr>
    <w:rPr>
      <w:rFonts w:cs="Arial"/>
      <w:b/>
      <w:sz w:val="28"/>
    </w:rPr>
  </w:style>
  <w:style w:type="paragraph" w:customStyle="1" w:styleId="Autoren">
    <w:name w:val="Autoren"/>
    <w:basedOn w:val="Haupttext"/>
    <w:rsid w:val="00264E9B"/>
    <w:pPr>
      <w:jc w:val="center"/>
    </w:pPr>
    <w:rPr>
      <w:i/>
      <w:iCs/>
    </w:rPr>
  </w:style>
  <w:style w:type="paragraph" w:styleId="Subtitle">
    <w:name w:val="Subtitle"/>
    <w:basedOn w:val="Haupttext"/>
    <w:next w:val="Haupttext"/>
    <w:qFormat/>
    <w:rsid w:val="00264E9B"/>
    <w:pPr>
      <w:spacing w:before="120"/>
      <w:jc w:val="left"/>
      <w:outlineLvl w:val="1"/>
    </w:pPr>
    <w:rPr>
      <w:rFonts w:cs="Arial"/>
      <w:b/>
      <w:szCs w:val="24"/>
    </w:rPr>
  </w:style>
  <w:style w:type="paragraph" w:customStyle="1" w:styleId="Haupttext">
    <w:name w:val="Haupttext"/>
    <w:rsid w:val="00264E9B"/>
    <w:pPr>
      <w:spacing w:line="360" w:lineRule="auto"/>
      <w:jc w:val="both"/>
    </w:pPr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621378"/>
    <w:pPr>
      <w:widowControl w:val="0"/>
      <w:overflowPunct/>
      <w:autoSpaceDE/>
      <w:autoSpaceDN/>
      <w:adjustRightInd/>
      <w:spacing w:line="240" w:lineRule="auto"/>
      <w:ind w:left="720"/>
      <w:contextualSpacing/>
      <w:jc w:val="both"/>
      <w:textAlignment w:val="auto"/>
    </w:pPr>
    <w:rPr>
      <w:rFonts w:ascii="Century" w:eastAsia="MS Mincho" w:hAnsi="Century"/>
      <w:kern w:val="2"/>
      <w:sz w:val="21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213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0169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hill@monash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*matthew.hill@csiro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matthewrhill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CHEMA\winword2000\user\NORMALL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NORMALLN.DOT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Normvorlage</vt:lpstr>
      <vt:lpstr>Normvorlage</vt:lpstr>
    </vt:vector>
  </TitlesOfParts>
  <Company>DECHEMA e.V.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Normvorlage</dc:title>
  <dc:creator>Dr. L. Nick</dc:creator>
  <cp:lastModifiedBy>Soo Leong</cp:lastModifiedBy>
  <cp:revision>2</cp:revision>
  <cp:lastPrinted>2006-11-09T13:33:00Z</cp:lastPrinted>
  <dcterms:created xsi:type="dcterms:W3CDTF">2022-11-09T01:55:00Z</dcterms:created>
  <dcterms:modified xsi:type="dcterms:W3CDTF">2022-11-09T01:55:00Z</dcterms:modified>
</cp:coreProperties>
</file>